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74"/>
        <w:gridCol w:w="3022"/>
        <w:gridCol w:w="1598"/>
        <w:gridCol w:w="2901"/>
        <w:gridCol w:w="3795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1F090B">
        <w:tc>
          <w:tcPr>
            <w:tcW w:w="3074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2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98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1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5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1F090B">
        <w:trPr>
          <w:trHeight w:val="2678"/>
        </w:trPr>
        <w:tc>
          <w:tcPr>
            <w:tcW w:w="3074" w:type="dxa"/>
            <w:vAlign w:val="center"/>
          </w:tcPr>
          <w:p w14:paraId="2615CD50" w14:textId="15929A10" w:rsidR="00AD1658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2" w:type="dxa"/>
            <w:vAlign w:val="center"/>
          </w:tcPr>
          <w:p w14:paraId="1352F4BD" w14:textId="77777777" w:rsidR="001F090B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Inclusión</w:t>
            </w:r>
          </w:p>
          <w:p w14:paraId="7083A809" w14:textId="77777777" w:rsidR="001F090B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Pensamiento crítico</w:t>
            </w:r>
          </w:p>
          <w:p w14:paraId="05D25603" w14:textId="77777777" w:rsidR="001F090B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Igualdad de género</w:t>
            </w:r>
          </w:p>
          <w:p w14:paraId="2D724138" w14:textId="5543CE9E" w:rsidR="00AD1658" w:rsidRPr="001F090B" w:rsidRDefault="00AD1658" w:rsidP="001F090B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14:paraId="381BC6FC" w14:textId="77777777" w:rsidR="001F090B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Comunitario.</w:t>
            </w:r>
          </w:p>
          <w:p w14:paraId="133CBBF1" w14:textId="1CAD7A14" w:rsidR="00AD1658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Páginas 284 a la 295</w:t>
            </w:r>
          </w:p>
        </w:tc>
        <w:tc>
          <w:tcPr>
            <w:tcW w:w="2901" w:type="dxa"/>
            <w:vAlign w:val="center"/>
          </w:tcPr>
          <w:p w14:paraId="1C02C1AD" w14:textId="54128EBD" w:rsidR="00AD1658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Por la igualdad de género</w:t>
            </w:r>
          </w:p>
        </w:tc>
        <w:tc>
          <w:tcPr>
            <w:tcW w:w="3795" w:type="dxa"/>
            <w:vAlign w:val="center"/>
          </w:tcPr>
          <w:p w14:paraId="30CCDB5F" w14:textId="7A787B33" w:rsidR="00AD1658" w:rsidRPr="001F090B" w:rsidRDefault="001F090B" w:rsidP="001F090B">
            <w:pPr>
              <w:rPr>
                <w:rFonts w:ascii="Century Gothic" w:hAnsi="Century Gothic"/>
              </w:rPr>
            </w:pPr>
            <w:r w:rsidRPr="001F090B">
              <w:rPr>
                <w:rFonts w:ascii="Century Gothic" w:hAnsi="Century Gothic"/>
              </w:rPr>
              <w:t>Analizar las prácticas cotidianas que existen entre mujeres y hombres de su comunidad y, mediante una Campaña de sensibilización, exponer la situación actual sobre la igualdad de género en el lugar donde viven y proponer algunas formas de practicarla.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777C0" w14:textId="77777777" w:rsidR="003B0D1A" w:rsidRDefault="003B0D1A" w:rsidP="0040208D">
      <w:pPr>
        <w:spacing w:after="0" w:line="240" w:lineRule="auto"/>
      </w:pPr>
      <w:r>
        <w:separator/>
      </w:r>
    </w:p>
  </w:endnote>
  <w:endnote w:type="continuationSeparator" w:id="0">
    <w:p w14:paraId="47912C3B" w14:textId="77777777" w:rsidR="003B0D1A" w:rsidRDefault="003B0D1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2E24" w14:textId="77777777" w:rsidR="003B0D1A" w:rsidRDefault="003B0D1A" w:rsidP="0040208D">
      <w:pPr>
        <w:spacing w:after="0" w:line="240" w:lineRule="auto"/>
      </w:pPr>
      <w:r>
        <w:separator/>
      </w:r>
    </w:p>
  </w:footnote>
  <w:footnote w:type="continuationSeparator" w:id="0">
    <w:p w14:paraId="19AB85AD" w14:textId="77777777" w:rsidR="003B0D1A" w:rsidRDefault="003B0D1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F090B"/>
    <w:rsid w:val="002F59BC"/>
    <w:rsid w:val="003B0D1A"/>
    <w:rsid w:val="0040208D"/>
    <w:rsid w:val="004104AA"/>
    <w:rsid w:val="00711889"/>
    <w:rsid w:val="0072408D"/>
    <w:rsid w:val="007313AC"/>
    <w:rsid w:val="009A14DE"/>
    <w:rsid w:val="009A5BC5"/>
    <w:rsid w:val="00AD1658"/>
    <w:rsid w:val="00B474F4"/>
    <w:rsid w:val="00B51E4C"/>
    <w:rsid w:val="00E217F1"/>
    <w:rsid w:val="00E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424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2025-04-02T04:17:00Z</dcterms:modified>
  <cp:category>www.DidacticosMx.com</cp:category>
</cp:coreProperties>
</file>