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F972" w14:textId="7F9773B1" w:rsidR="00AD1658" w:rsidRDefault="002E3E2E" w:rsidP="002E3E2E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1er Grado</w:t>
      </w:r>
    </w:p>
    <w:p w14:paraId="1DAA267C" w14:textId="256F73B7" w:rsidR="00F36A7E" w:rsidRPr="002E3E2E" w:rsidRDefault="00F36A7E" w:rsidP="002E3E2E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4FFF4F"/>
          <w:left w:val="single" w:sz="4" w:space="0" w:color="4FFF4F"/>
          <w:bottom w:val="single" w:sz="4" w:space="0" w:color="4FFF4F"/>
          <w:right w:val="single" w:sz="4" w:space="0" w:color="4FFF4F"/>
          <w:insideH w:val="single" w:sz="4" w:space="0" w:color="4FFF4F"/>
          <w:insideV w:val="single" w:sz="4" w:space="0" w:color="4FFF4F"/>
        </w:tblBorders>
        <w:tblLook w:val="04A0" w:firstRow="1" w:lastRow="0" w:firstColumn="1" w:lastColumn="0" w:noHBand="0" w:noVBand="1"/>
      </w:tblPr>
      <w:tblGrid>
        <w:gridCol w:w="3039"/>
        <w:gridCol w:w="3006"/>
        <w:gridCol w:w="1723"/>
        <w:gridCol w:w="2882"/>
        <w:gridCol w:w="3740"/>
      </w:tblGrid>
      <w:tr w:rsidR="00AD1658" w:rsidRPr="00AD1658" w14:paraId="51312299" w14:textId="77777777" w:rsidTr="0077183D">
        <w:tc>
          <w:tcPr>
            <w:tcW w:w="14390" w:type="dxa"/>
            <w:gridSpan w:val="5"/>
            <w:shd w:val="clear" w:color="auto" w:fill="B3FFB3"/>
            <w:vAlign w:val="center"/>
          </w:tcPr>
          <w:p w14:paraId="7345A0A7" w14:textId="66C1CAF0" w:rsidR="00AD1658" w:rsidRPr="00AD1658" w:rsidRDefault="00CB06F3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1B15FF">
        <w:tc>
          <w:tcPr>
            <w:tcW w:w="3039" w:type="dxa"/>
            <w:shd w:val="clear" w:color="auto" w:fill="E1FFE1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06" w:type="dxa"/>
            <w:shd w:val="clear" w:color="auto" w:fill="E1FFE1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723" w:type="dxa"/>
            <w:shd w:val="clear" w:color="auto" w:fill="E1FFE1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882" w:type="dxa"/>
            <w:shd w:val="clear" w:color="auto" w:fill="E1FFE1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740" w:type="dxa"/>
            <w:shd w:val="clear" w:color="auto" w:fill="E1FFE1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AD1658" w:rsidRPr="00AD1658" w14:paraId="3E0896F7" w14:textId="77777777" w:rsidTr="001B15FF">
        <w:tc>
          <w:tcPr>
            <w:tcW w:w="3039" w:type="dxa"/>
            <w:vAlign w:val="center"/>
          </w:tcPr>
          <w:p w14:paraId="2615CD50" w14:textId="58B78C3A" w:rsidR="00AD1658" w:rsidRPr="001B15FF" w:rsidRDefault="001B15FF" w:rsidP="001B15FF">
            <w:pPr>
              <w:rPr>
                <w:rFonts w:ascii="Century Gothic" w:hAnsi="Century Gothic"/>
                <w:sz w:val="24"/>
                <w:szCs w:val="24"/>
              </w:rPr>
            </w:pPr>
            <w:r w:rsidRPr="001B15FF">
              <w:rPr>
                <w:rFonts w:ascii="Century Gothic" w:hAnsi="Century Gothic"/>
                <w:sz w:val="24"/>
                <w:szCs w:val="24"/>
              </w:rPr>
              <w:t>Ética, naturaleza y sociedades</w:t>
            </w:r>
          </w:p>
        </w:tc>
        <w:tc>
          <w:tcPr>
            <w:tcW w:w="3006" w:type="dxa"/>
            <w:vAlign w:val="center"/>
          </w:tcPr>
          <w:p w14:paraId="2777C7F6" w14:textId="77777777" w:rsidR="001B15FF" w:rsidRPr="001B15FF" w:rsidRDefault="001B15FF" w:rsidP="001B15FF">
            <w:pPr>
              <w:rPr>
                <w:rFonts w:ascii="Century Gothic" w:hAnsi="Century Gothic"/>
                <w:sz w:val="24"/>
                <w:szCs w:val="24"/>
              </w:rPr>
            </w:pPr>
            <w:r w:rsidRPr="001B15FF">
              <w:rPr>
                <w:rFonts w:ascii="Century Gothic" w:hAnsi="Century Gothic"/>
                <w:sz w:val="24"/>
                <w:szCs w:val="24"/>
              </w:rPr>
              <w:t>Inclusión</w:t>
            </w:r>
          </w:p>
          <w:p w14:paraId="393EE49C" w14:textId="77777777" w:rsidR="001B15FF" w:rsidRPr="001B15FF" w:rsidRDefault="001B15FF" w:rsidP="001B15FF">
            <w:pPr>
              <w:rPr>
                <w:rFonts w:ascii="Century Gothic" w:hAnsi="Century Gothic"/>
                <w:sz w:val="24"/>
                <w:szCs w:val="24"/>
              </w:rPr>
            </w:pPr>
            <w:r w:rsidRPr="001B15FF">
              <w:rPr>
                <w:rFonts w:ascii="Century Gothic" w:hAnsi="Century Gothic"/>
                <w:sz w:val="24"/>
                <w:szCs w:val="24"/>
              </w:rPr>
              <w:t>Pensamiento crítico</w:t>
            </w:r>
          </w:p>
          <w:p w14:paraId="3CD51003" w14:textId="77777777" w:rsidR="001B15FF" w:rsidRPr="001B15FF" w:rsidRDefault="001B15FF" w:rsidP="001B15FF">
            <w:pPr>
              <w:rPr>
                <w:rFonts w:ascii="Century Gothic" w:hAnsi="Century Gothic"/>
                <w:sz w:val="24"/>
                <w:szCs w:val="24"/>
              </w:rPr>
            </w:pPr>
            <w:r w:rsidRPr="001B15FF">
              <w:rPr>
                <w:rFonts w:ascii="Century Gothic" w:hAnsi="Century Gothic"/>
                <w:sz w:val="24"/>
                <w:szCs w:val="24"/>
              </w:rPr>
              <w:t xml:space="preserve">Interculturalidad critica </w:t>
            </w:r>
          </w:p>
          <w:p w14:paraId="54D406AD" w14:textId="77777777" w:rsidR="001B15FF" w:rsidRPr="001B15FF" w:rsidRDefault="001B15FF" w:rsidP="001B15FF">
            <w:pPr>
              <w:rPr>
                <w:rFonts w:ascii="Century Gothic" w:hAnsi="Century Gothic"/>
                <w:sz w:val="24"/>
                <w:szCs w:val="24"/>
              </w:rPr>
            </w:pPr>
            <w:r w:rsidRPr="001B15FF">
              <w:rPr>
                <w:rFonts w:ascii="Century Gothic" w:hAnsi="Century Gothic"/>
                <w:sz w:val="24"/>
                <w:szCs w:val="24"/>
              </w:rPr>
              <w:t xml:space="preserve">Apropiación de las culturas a través de la lectura y la escritura </w:t>
            </w:r>
          </w:p>
          <w:p w14:paraId="2D724138" w14:textId="6510EE8A" w:rsidR="00AD1658" w:rsidRPr="001B15FF" w:rsidRDefault="001B15FF" w:rsidP="001B15FF">
            <w:pPr>
              <w:rPr>
                <w:rFonts w:ascii="Century Gothic" w:hAnsi="Century Gothic"/>
                <w:sz w:val="24"/>
                <w:szCs w:val="24"/>
              </w:rPr>
            </w:pPr>
            <w:r w:rsidRPr="001B15FF">
              <w:rPr>
                <w:rFonts w:ascii="Century Gothic" w:hAnsi="Century Gothic"/>
                <w:sz w:val="24"/>
                <w:szCs w:val="24"/>
              </w:rPr>
              <w:t>Vida saludable</w:t>
            </w:r>
          </w:p>
        </w:tc>
        <w:tc>
          <w:tcPr>
            <w:tcW w:w="1723" w:type="dxa"/>
            <w:vAlign w:val="center"/>
          </w:tcPr>
          <w:p w14:paraId="5FB09FEB" w14:textId="77777777" w:rsidR="001B15FF" w:rsidRPr="001B15FF" w:rsidRDefault="001B15FF" w:rsidP="001B15FF">
            <w:pPr>
              <w:rPr>
                <w:rFonts w:ascii="Century Gothic" w:hAnsi="Century Gothic"/>
                <w:sz w:val="24"/>
                <w:szCs w:val="24"/>
              </w:rPr>
            </w:pPr>
            <w:r w:rsidRPr="001B15FF">
              <w:rPr>
                <w:rFonts w:ascii="Century Gothic" w:hAnsi="Century Gothic"/>
                <w:sz w:val="24"/>
                <w:szCs w:val="24"/>
              </w:rPr>
              <w:t>Comunitario.</w:t>
            </w:r>
          </w:p>
          <w:p w14:paraId="133CBBF1" w14:textId="15F3EFA3" w:rsidR="00AD1658" w:rsidRPr="001B15FF" w:rsidRDefault="001B15FF" w:rsidP="001B15FF">
            <w:pPr>
              <w:rPr>
                <w:rFonts w:ascii="Century Gothic" w:hAnsi="Century Gothic"/>
                <w:sz w:val="24"/>
                <w:szCs w:val="24"/>
              </w:rPr>
            </w:pPr>
            <w:r w:rsidRPr="001B15FF">
              <w:rPr>
                <w:rFonts w:ascii="Century Gothic" w:hAnsi="Century Gothic"/>
                <w:sz w:val="24"/>
                <w:szCs w:val="24"/>
              </w:rPr>
              <w:t>Páginas 160 a la 167</w:t>
            </w:r>
          </w:p>
        </w:tc>
        <w:tc>
          <w:tcPr>
            <w:tcW w:w="2882" w:type="dxa"/>
            <w:vAlign w:val="center"/>
          </w:tcPr>
          <w:p w14:paraId="1C02C1AD" w14:textId="1AC5752C" w:rsidR="00AD1658" w:rsidRPr="001B15FF" w:rsidRDefault="001B15FF" w:rsidP="001B15FF">
            <w:pPr>
              <w:rPr>
                <w:rFonts w:ascii="Century Gothic" w:hAnsi="Century Gothic"/>
                <w:sz w:val="24"/>
                <w:szCs w:val="24"/>
              </w:rPr>
            </w:pPr>
            <w:r w:rsidRPr="001B15FF">
              <w:rPr>
                <w:rFonts w:ascii="Century Gothic" w:hAnsi="Century Gothic"/>
                <w:sz w:val="24"/>
                <w:szCs w:val="24"/>
              </w:rPr>
              <w:t>Con saberes y quehaceres participamos en nuestro entorno</w:t>
            </w:r>
          </w:p>
        </w:tc>
        <w:tc>
          <w:tcPr>
            <w:tcW w:w="3740" w:type="dxa"/>
            <w:vAlign w:val="center"/>
          </w:tcPr>
          <w:p w14:paraId="30CCDB5F" w14:textId="7F9EE797" w:rsidR="00AD1658" w:rsidRPr="001B15FF" w:rsidRDefault="001B15FF" w:rsidP="001B15FF">
            <w:pPr>
              <w:rPr>
                <w:rFonts w:ascii="Century Gothic" w:hAnsi="Century Gothic"/>
                <w:sz w:val="24"/>
                <w:szCs w:val="24"/>
              </w:rPr>
            </w:pPr>
            <w:r w:rsidRPr="001B15FF">
              <w:rPr>
                <w:rFonts w:ascii="Century Gothic" w:hAnsi="Century Gothic"/>
                <w:sz w:val="24"/>
                <w:szCs w:val="24"/>
              </w:rPr>
              <w:t>Organizar una Muestra de saberes y quehaceres para conocer a personas con distintos oficios y profesiones, así como la manera en que participan en las labores y actividades de la casa y la comunidad.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16993" w14:textId="77777777" w:rsidR="007E5CD7" w:rsidRDefault="007E5CD7" w:rsidP="002E3E2E">
      <w:pPr>
        <w:spacing w:after="0" w:line="240" w:lineRule="auto"/>
      </w:pPr>
      <w:r>
        <w:separator/>
      </w:r>
    </w:p>
  </w:endnote>
  <w:endnote w:type="continuationSeparator" w:id="0">
    <w:p w14:paraId="28C092CA" w14:textId="77777777" w:rsidR="007E5CD7" w:rsidRDefault="007E5CD7" w:rsidP="002E3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8820B" w14:textId="77777777" w:rsidR="007E5CD7" w:rsidRDefault="007E5CD7" w:rsidP="002E3E2E">
      <w:pPr>
        <w:spacing w:after="0" w:line="240" w:lineRule="auto"/>
      </w:pPr>
      <w:r>
        <w:separator/>
      </w:r>
    </w:p>
  </w:footnote>
  <w:footnote w:type="continuationSeparator" w:id="0">
    <w:p w14:paraId="6970FFCA" w14:textId="77777777" w:rsidR="007E5CD7" w:rsidRDefault="007E5CD7" w:rsidP="002E3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47E0A" w14:textId="4A86B57F" w:rsidR="002E3E2E" w:rsidRPr="002E3E2E" w:rsidRDefault="002E3E2E" w:rsidP="002E3E2E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247830AD" wp14:editId="31F02814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1B15FF"/>
    <w:rsid w:val="002E3E2E"/>
    <w:rsid w:val="002F59BC"/>
    <w:rsid w:val="00316351"/>
    <w:rsid w:val="004104AA"/>
    <w:rsid w:val="007E5CD7"/>
    <w:rsid w:val="008408BE"/>
    <w:rsid w:val="009A5BC5"/>
    <w:rsid w:val="009B6975"/>
    <w:rsid w:val="00AD1658"/>
    <w:rsid w:val="00B474F4"/>
    <w:rsid w:val="00B51E4C"/>
    <w:rsid w:val="00BC7086"/>
    <w:rsid w:val="00CB06F3"/>
    <w:rsid w:val="00F3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E3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E2E"/>
  </w:style>
  <w:style w:type="paragraph" w:styleId="Piedepgina">
    <w:name w:val="footer"/>
    <w:basedOn w:val="Normal"/>
    <w:link w:val="PiedepginaCar"/>
    <w:uiPriority w:val="99"/>
    <w:unhideWhenUsed/>
    <w:rsid w:val="002E3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</Words>
  <Characters>482</Characters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2025-04-02T03:30:00Z</dcterms:modified>
  <cp:category>www.DidacticosMx.com</cp:category>
</cp:coreProperties>
</file>