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F972" w14:textId="7D01219E" w:rsidR="00AD1658" w:rsidRDefault="000458B3" w:rsidP="000458B3">
      <w:pPr>
        <w:spacing w:after="0"/>
        <w:jc w:val="center"/>
        <w:rPr>
          <w:rFonts w:ascii="Century Gothic" w:hAnsi="Century Gothic"/>
          <w:b/>
          <w:bCs/>
          <w:sz w:val="32"/>
          <w:szCs w:val="32"/>
        </w:rPr>
      </w:pPr>
      <w:r>
        <w:rPr>
          <w:rFonts w:ascii="Century Gothic" w:hAnsi="Century Gothic"/>
          <w:b/>
          <w:bCs/>
          <w:sz w:val="32"/>
          <w:szCs w:val="32"/>
        </w:rPr>
        <w:t>2d</w:t>
      </w:r>
      <w:r w:rsidRPr="00D46909">
        <w:rPr>
          <w:rFonts w:ascii="Century Gothic" w:hAnsi="Century Gothic"/>
          <w:b/>
          <w:bCs/>
          <w:sz w:val="32"/>
          <w:szCs w:val="32"/>
        </w:rPr>
        <w:t>o</w:t>
      </w:r>
      <w:r>
        <w:rPr>
          <w:rFonts w:ascii="Century Gothic" w:hAnsi="Century Gothic"/>
          <w:b/>
          <w:bCs/>
          <w:sz w:val="32"/>
          <w:szCs w:val="32"/>
        </w:rPr>
        <w:t xml:space="preserve"> Grado</w:t>
      </w:r>
    </w:p>
    <w:p w14:paraId="5F7DE1AD" w14:textId="63C5F47E" w:rsidR="00E57218" w:rsidRPr="000458B3" w:rsidRDefault="006F7BB1" w:rsidP="000458B3">
      <w:pPr>
        <w:spacing w:after="0"/>
        <w:jc w:val="center"/>
        <w:rPr>
          <w:rFonts w:ascii="Century Gothic" w:hAnsi="Century Gothic"/>
          <w:b/>
          <w:bCs/>
          <w:sz w:val="32"/>
          <w:szCs w:val="32"/>
        </w:rPr>
      </w:pPr>
      <w:r>
        <w:rPr>
          <w:rFonts w:ascii="Century Gothic" w:hAnsi="Century Gothic"/>
          <w:b/>
          <w:bCs/>
          <w:sz w:val="32"/>
          <w:szCs w:val="32"/>
        </w:rPr>
        <w:t>10 AL 21 DE MARZO</w:t>
      </w:r>
    </w:p>
    <w:tbl>
      <w:tblPr>
        <w:tblStyle w:val="Tablaconcuadrcula"/>
        <w:tblW w:w="0" w:type="auto"/>
        <w:tblBorders>
          <w:top w:val="single" w:sz="4" w:space="0" w:color="FF99FF"/>
          <w:left w:val="single" w:sz="4" w:space="0" w:color="FF99FF"/>
          <w:bottom w:val="single" w:sz="4" w:space="0" w:color="FF99FF"/>
          <w:right w:val="single" w:sz="4" w:space="0" w:color="FF99FF"/>
          <w:insideH w:val="single" w:sz="4" w:space="0" w:color="FF99FF"/>
          <w:insideV w:val="single" w:sz="4" w:space="0" w:color="FF99FF"/>
        </w:tblBorders>
        <w:tblLook w:val="04A0" w:firstRow="1" w:lastRow="0" w:firstColumn="1" w:lastColumn="0" w:noHBand="0" w:noVBand="1"/>
      </w:tblPr>
      <w:tblGrid>
        <w:gridCol w:w="3037"/>
        <w:gridCol w:w="2991"/>
        <w:gridCol w:w="1723"/>
        <w:gridCol w:w="2883"/>
        <w:gridCol w:w="3756"/>
      </w:tblGrid>
      <w:tr w:rsidR="00AD1658" w:rsidRPr="00AD1658" w14:paraId="51312299" w14:textId="77777777" w:rsidTr="002C5BA5">
        <w:tc>
          <w:tcPr>
            <w:tcW w:w="14390" w:type="dxa"/>
            <w:gridSpan w:val="5"/>
            <w:shd w:val="clear" w:color="auto" w:fill="FFC5FF"/>
            <w:vAlign w:val="center"/>
          </w:tcPr>
          <w:p w14:paraId="7345A0A7" w14:textId="04C2CF56" w:rsidR="00AD1658" w:rsidRPr="00AD1658" w:rsidRDefault="00E57218"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2C5BA5">
        <w:tc>
          <w:tcPr>
            <w:tcW w:w="3114" w:type="dxa"/>
            <w:shd w:val="clear" w:color="auto" w:fill="FFE7FF"/>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3051" w:type="dxa"/>
            <w:shd w:val="clear" w:color="auto" w:fill="FFE7FF"/>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439" w:type="dxa"/>
            <w:shd w:val="clear" w:color="auto" w:fill="FFE7FF"/>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2940" w:type="dxa"/>
            <w:shd w:val="clear" w:color="auto" w:fill="FFE7FF"/>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3846" w:type="dxa"/>
            <w:shd w:val="clear" w:color="auto" w:fill="FFE7FF"/>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6F7BB1" w:rsidRPr="00AD1658" w14:paraId="3E0896F7" w14:textId="77777777" w:rsidTr="002C5BA5">
        <w:tc>
          <w:tcPr>
            <w:tcW w:w="3114" w:type="dxa"/>
            <w:vAlign w:val="center"/>
          </w:tcPr>
          <w:p w14:paraId="2615CD50" w14:textId="595A0B08" w:rsidR="006F7BB1" w:rsidRPr="00AD1658" w:rsidRDefault="006F7BB1" w:rsidP="006F7BB1">
            <w:pPr>
              <w:jc w:val="center"/>
              <w:rPr>
                <w:rFonts w:ascii="Century Gothic" w:hAnsi="Century Gothic"/>
              </w:rPr>
            </w:pPr>
            <w:r w:rsidRPr="006F7BB1">
              <w:rPr>
                <w:rFonts w:ascii="Century Gothic" w:hAnsi="Century Gothic"/>
              </w:rPr>
              <w:t>Lenguajes</w:t>
            </w:r>
          </w:p>
        </w:tc>
        <w:tc>
          <w:tcPr>
            <w:tcW w:w="3051" w:type="dxa"/>
            <w:vAlign w:val="center"/>
          </w:tcPr>
          <w:p w14:paraId="2D724138" w14:textId="64C0681D" w:rsidR="006F7BB1" w:rsidRPr="00AD1658" w:rsidRDefault="006F7BB1" w:rsidP="006F7BB1">
            <w:pPr>
              <w:jc w:val="center"/>
              <w:rPr>
                <w:rFonts w:ascii="Century Gothic" w:hAnsi="Century Gothic"/>
              </w:rPr>
            </w:pPr>
            <w:r w:rsidRPr="006F7BB1">
              <w:rPr>
                <w:rFonts w:ascii="Century Gothic" w:hAnsi="Century Gothic"/>
              </w:rPr>
              <w:t>Inclusión</w:t>
            </w:r>
            <w:r>
              <w:rPr>
                <w:rFonts w:ascii="Century Gothic" w:hAnsi="Century Gothic"/>
              </w:rPr>
              <w:t xml:space="preserve">, </w:t>
            </w:r>
            <w:r w:rsidRPr="006F7BB1">
              <w:rPr>
                <w:rFonts w:ascii="Century Gothic" w:hAnsi="Century Gothic"/>
              </w:rPr>
              <w:t>Pensamiento crítico</w:t>
            </w:r>
            <w:r>
              <w:rPr>
                <w:rFonts w:ascii="Century Gothic" w:hAnsi="Century Gothic"/>
              </w:rPr>
              <w:t xml:space="preserve">, </w:t>
            </w:r>
            <w:r w:rsidRPr="006F7BB1">
              <w:rPr>
                <w:rFonts w:ascii="Century Gothic" w:hAnsi="Century Gothic"/>
              </w:rPr>
              <w:t>Igualdad de género</w:t>
            </w:r>
          </w:p>
        </w:tc>
        <w:tc>
          <w:tcPr>
            <w:tcW w:w="1439" w:type="dxa"/>
            <w:vAlign w:val="center"/>
          </w:tcPr>
          <w:p w14:paraId="54483512" w14:textId="77777777" w:rsidR="006F7BB1" w:rsidRPr="00B05A9F" w:rsidRDefault="006F7BB1" w:rsidP="006F7BB1">
            <w:pPr>
              <w:jc w:val="center"/>
              <w:rPr>
                <w:rFonts w:ascii="Century Gothic" w:hAnsi="Century Gothic" w:cs="Tahoma"/>
                <w:sz w:val="24"/>
                <w:szCs w:val="24"/>
              </w:rPr>
            </w:pPr>
            <w:r w:rsidRPr="00B05A9F">
              <w:rPr>
                <w:rFonts w:ascii="Century Gothic" w:hAnsi="Century Gothic" w:cs="Tahoma"/>
                <w:sz w:val="24"/>
                <w:szCs w:val="24"/>
              </w:rPr>
              <w:t>Escolar.</w:t>
            </w:r>
          </w:p>
          <w:p w14:paraId="133CBBF1" w14:textId="7128E6ED" w:rsidR="006F7BB1" w:rsidRPr="00AD1658" w:rsidRDefault="006F7BB1" w:rsidP="006F7BB1">
            <w:pPr>
              <w:jc w:val="center"/>
              <w:rPr>
                <w:rFonts w:ascii="Century Gothic" w:hAnsi="Century Gothic"/>
              </w:rPr>
            </w:pPr>
            <w:r w:rsidRPr="00B05A9F">
              <w:rPr>
                <w:rFonts w:ascii="Century Gothic" w:hAnsi="Century Gothic" w:cs="Tahoma"/>
                <w:sz w:val="24"/>
                <w:szCs w:val="24"/>
              </w:rPr>
              <w:t>Páginas 26 a la 39</w:t>
            </w:r>
          </w:p>
        </w:tc>
        <w:tc>
          <w:tcPr>
            <w:tcW w:w="2940" w:type="dxa"/>
            <w:vAlign w:val="center"/>
          </w:tcPr>
          <w:p w14:paraId="1C02C1AD" w14:textId="56C7581C" w:rsidR="006F7BB1" w:rsidRPr="00AD1658" w:rsidRDefault="006F7BB1" w:rsidP="006F7BB1">
            <w:pPr>
              <w:jc w:val="center"/>
              <w:rPr>
                <w:rFonts w:ascii="Century Gothic" w:hAnsi="Century Gothic"/>
              </w:rPr>
            </w:pPr>
            <w:r w:rsidRPr="00B05A9F">
              <w:rPr>
                <w:rFonts w:ascii="Century Gothic" w:hAnsi="Century Gothic" w:cs="Tahoma"/>
                <w:kern w:val="0"/>
                <w:sz w:val="24"/>
                <w:szCs w:val="24"/>
              </w:rPr>
              <w:t>Aunque diferentes, somos iguales.</w:t>
            </w:r>
          </w:p>
        </w:tc>
        <w:tc>
          <w:tcPr>
            <w:tcW w:w="3846" w:type="dxa"/>
            <w:vAlign w:val="center"/>
          </w:tcPr>
          <w:p w14:paraId="30CCDB5F" w14:textId="52A877D3" w:rsidR="006F7BB1" w:rsidRPr="00AD1658" w:rsidRDefault="006F7BB1" w:rsidP="006F7BB1">
            <w:pPr>
              <w:jc w:val="both"/>
              <w:rPr>
                <w:rFonts w:ascii="Century Gothic" w:hAnsi="Century Gothic"/>
              </w:rPr>
            </w:pPr>
            <w:r w:rsidRPr="00B05A9F">
              <w:rPr>
                <w:rFonts w:ascii="Century Gothic" w:hAnsi="Century Gothic" w:cs="Tahoma"/>
                <w:sz w:val="24"/>
                <w:szCs w:val="24"/>
              </w:rPr>
              <w:t>Participar en un torneo deportivo por la diversidad en donde apreciarán que niñas y niños pueden practicar un deporte por igual. Asimismo, elaborar una invitación y un reconocimiento para entregar a los participantes.</w:t>
            </w:r>
          </w:p>
        </w:tc>
      </w:tr>
      <w:tr w:rsidR="006F7BB1" w:rsidRPr="00AD1658" w14:paraId="11363062" w14:textId="77777777" w:rsidTr="002C5BA5">
        <w:tc>
          <w:tcPr>
            <w:tcW w:w="3114" w:type="dxa"/>
            <w:vAlign w:val="center"/>
          </w:tcPr>
          <w:p w14:paraId="6A945832" w14:textId="6FADE623" w:rsidR="006F7BB1" w:rsidRPr="00AD1658" w:rsidRDefault="006F7BB1" w:rsidP="006F7BB1">
            <w:pPr>
              <w:jc w:val="center"/>
              <w:rPr>
                <w:rFonts w:ascii="Century Gothic" w:hAnsi="Century Gothic"/>
              </w:rPr>
            </w:pPr>
            <w:r w:rsidRPr="006F7BB1">
              <w:rPr>
                <w:rFonts w:ascii="Century Gothic" w:hAnsi="Century Gothic"/>
              </w:rPr>
              <w:t>Ética, naturaleza y sociedades</w:t>
            </w:r>
          </w:p>
        </w:tc>
        <w:tc>
          <w:tcPr>
            <w:tcW w:w="3051" w:type="dxa"/>
            <w:vAlign w:val="center"/>
          </w:tcPr>
          <w:p w14:paraId="58086788" w14:textId="5AF21D32" w:rsidR="006F7BB1" w:rsidRPr="00AD1658" w:rsidRDefault="006F7BB1" w:rsidP="006F7BB1">
            <w:pPr>
              <w:jc w:val="center"/>
              <w:rPr>
                <w:rFonts w:ascii="Century Gothic" w:hAnsi="Century Gothic"/>
              </w:rPr>
            </w:pPr>
            <w:r w:rsidRPr="006F7BB1">
              <w:rPr>
                <w:rFonts w:ascii="Century Gothic" w:hAnsi="Century Gothic"/>
              </w:rPr>
              <w:t>Inclusión</w:t>
            </w:r>
            <w:r>
              <w:rPr>
                <w:rFonts w:ascii="Century Gothic" w:hAnsi="Century Gothic"/>
              </w:rPr>
              <w:t xml:space="preserve">, </w:t>
            </w:r>
            <w:r w:rsidRPr="006F7BB1">
              <w:rPr>
                <w:rFonts w:ascii="Century Gothic" w:hAnsi="Century Gothic"/>
              </w:rPr>
              <w:t>Pensamiento crítico</w:t>
            </w:r>
            <w:r>
              <w:rPr>
                <w:rFonts w:ascii="Century Gothic" w:hAnsi="Century Gothic"/>
              </w:rPr>
              <w:t xml:space="preserve">, </w:t>
            </w:r>
            <w:r w:rsidRPr="006F7BB1">
              <w:rPr>
                <w:rFonts w:ascii="Century Gothic" w:hAnsi="Century Gothic"/>
              </w:rPr>
              <w:t>Igualdad de género</w:t>
            </w:r>
          </w:p>
        </w:tc>
        <w:tc>
          <w:tcPr>
            <w:tcW w:w="1439" w:type="dxa"/>
            <w:vAlign w:val="center"/>
          </w:tcPr>
          <w:p w14:paraId="2409BB83" w14:textId="77777777" w:rsidR="006F7BB1" w:rsidRPr="00B05A9F" w:rsidRDefault="006F7BB1" w:rsidP="006F7BB1">
            <w:pPr>
              <w:jc w:val="center"/>
              <w:rPr>
                <w:rFonts w:ascii="Century Gothic" w:hAnsi="Century Gothic" w:cs="Tahoma"/>
                <w:sz w:val="24"/>
                <w:szCs w:val="24"/>
              </w:rPr>
            </w:pPr>
            <w:r w:rsidRPr="00B05A9F">
              <w:rPr>
                <w:rFonts w:ascii="Century Gothic" w:hAnsi="Century Gothic" w:cs="Tahoma"/>
                <w:sz w:val="24"/>
                <w:szCs w:val="24"/>
              </w:rPr>
              <w:t>Comunitario.</w:t>
            </w:r>
          </w:p>
          <w:p w14:paraId="55789F6D" w14:textId="246B4C9C" w:rsidR="006F7BB1" w:rsidRPr="00AD1658" w:rsidRDefault="006F7BB1" w:rsidP="006F7BB1">
            <w:pPr>
              <w:jc w:val="center"/>
              <w:rPr>
                <w:rFonts w:ascii="Century Gothic" w:hAnsi="Century Gothic"/>
              </w:rPr>
            </w:pPr>
            <w:r w:rsidRPr="00B05A9F">
              <w:rPr>
                <w:rFonts w:ascii="Century Gothic" w:hAnsi="Century Gothic" w:cs="Tahoma"/>
                <w:sz w:val="24"/>
                <w:szCs w:val="24"/>
              </w:rPr>
              <w:t>Páginas 140 a la 145</w:t>
            </w:r>
          </w:p>
        </w:tc>
        <w:tc>
          <w:tcPr>
            <w:tcW w:w="2940" w:type="dxa"/>
            <w:vAlign w:val="center"/>
          </w:tcPr>
          <w:p w14:paraId="0F88FC55" w14:textId="0B6BD3E3" w:rsidR="006F7BB1" w:rsidRPr="00AD1658" w:rsidRDefault="006F7BB1" w:rsidP="006F7BB1">
            <w:pPr>
              <w:jc w:val="center"/>
              <w:rPr>
                <w:rFonts w:ascii="Century Gothic" w:hAnsi="Century Gothic"/>
              </w:rPr>
            </w:pPr>
            <w:r w:rsidRPr="00B05A9F">
              <w:rPr>
                <w:rFonts w:ascii="Century Gothic" w:hAnsi="Century Gothic" w:cs="Tahoma"/>
                <w:kern w:val="0"/>
                <w:sz w:val="24"/>
                <w:szCs w:val="24"/>
              </w:rPr>
              <w:t>¡Desfile por la igualdad!</w:t>
            </w:r>
          </w:p>
        </w:tc>
        <w:tc>
          <w:tcPr>
            <w:tcW w:w="3846" w:type="dxa"/>
            <w:vAlign w:val="center"/>
          </w:tcPr>
          <w:p w14:paraId="1544F34B" w14:textId="5857B2C2" w:rsidR="006F7BB1" w:rsidRPr="00AD1658" w:rsidRDefault="006F7BB1" w:rsidP="006F7BB1">
            <w:pPr>
              <w:jc w:val="both"/>
              <w:rPr>
                <w:rFonts w:ascii="Century Gothic" w:hAnsi="Century Gothic"/>
              </w:rPr>
            </w:pPr>
            <w:r w:rsidRPr="00B05A9F">
              <w:rPr>
                <w:rFonts w:ascii="Century Gothic" w:hAnsi="Century Gothic" w:cs="Tahoma"/>
                <w:sz w:val="24"/>
                <w:szCs w:val="24"/>
              </w:rPr>
              <w:t>Participar en un Desfile por la igualdad de género donde compartirán con la comunidad diversas ideas para comprender por qué todas las personas, sin importar su sexo, tienen los mismos derechos.</w:t>
            </w:r>
          </w:p>
        </w:tc>
      </w:tr>
      <w:tr w:rsidR="006F7BB1" w:rsidRPr="00AD1658" w14:paraId="28903A2D" w14:textId="77777777" w:rsidTr="002C5BA5">
        <w:tc>
          <w:tcPr>
            <w:tcW w:w="3114" w:type="dxa"/>
            <w:vAlign w:val="center"/>
          </w:tcPr>
          <w:p w14:paraId="66EAD28D" w14:textId="0FA18DF5" w:rsidR="006F7BB1" w:rsidRPr="00AD1658" w:rsidRDefault="006F7BB1" w:rsidP="006F7BB1">
            <w:pPr>
              <w:jc w:val="center"/>
              <w:rPr>
                <w:rFonts w:ascii="Century Gothic" w:hAnsi="Century Gothic"/>
              </w:rPr>
            </w:pPr>
            <w:r w:rsidRPr="006F7BB1">
              <w:rPr>
                <w:rFonts w:ascii="Century Gothic" w:hAnsi="Century Gothic"/>
              </w:rPr>
              <w:t>Saberes y pensamiento científico</w:t>
            </w:r>
          </w:p>
        </w:tc>
        <w:tc>
          <w:tcPr>
            <w:tcW w:w="3051" w:type="dxa"/>
            <w:vAlign w:val="center"/>
          </w:tcPr>
          <w:p w14:paraId="599C58D7" w14:textId="4D0A3693" w:rsidR="006F7BB1" w:rsidRPr="00AD1658" w:rsidRDefault="006F7BB1" w:rsidP="006F7BB1">
            <w:pPr>
              <w:jc w:val="center"/>
              <w:rPr>
                <w:rFonts w:ascii="Century Gothic" w:hAnsi="Century Gothic"/>
              </w:rPr>
            </w:pPr>
            <w:r w:rsidRPr="006F7BB1">
              <w:rPr>
                <w:rFonts w:ascii="Century Gothic" w:hAnsi="Century Gothic"/>
              </w:rPr>
              <w:t>Pensamiento crítico</w:t>
            </w:r>
            <w:r>
              <w:rPr>
                <w:rFonts w:ascii="Century Gothic" w:hAnsi="Century Gothic"/>
              </w:rPr>
              <w:t xml:space="preserve">, </w:t>
            </w:r>
            <w:r w:rsidRPr="006F7BB1">
              <w:rPr>
                <w:rFonts w:ascii="Century Gothic" w:hAnsi="Century Gothic"/>
              </w:rPr>
              <w:t>Vida saludable</w:t>
            </w:r>
          </w:p>
        </w:tc>
        <w:tc>
          <w:tcPr>
            <w:tcW w:w="1439" w:type="dxa"/>
            <w:vAlign w:val="center"/>
          </w:tcPr>
          <w:p w14:paraId="37718F0C" w14:textId="77777777" w:rsidR="006F7BB1" w:rsidRPr="00B05A9F" w:rsidRDefault="006F7BB1" w:rsidP="006F7BB1">
            <w:pPr>
              <w:jc w:val="center"/>
              <w:rPr>
                <w:rFonts w:ascii="Century Gothic" w:hAnsi="Century Gothic" w:cs="Tahoma"/>
                <w:sz w:val="24"/>
                <w:szCs w:val="24"/>
              </w:rPr>
            </w:pPr>
            <w:r w:rsidRPr="00B05A9F">
              <w:rPr>
                <w:rFonts w:ascii="Century Gothic" w:hAnsi="Century Gothic" w:cs="Tahoma"/>
                <w:sz w:val="24"/>
                <w:szCs w:val="24"/>
              </w:rPr>
              <w:t>Aula.</w:t>
            </w:r>
          </w:p>
          <w:p w14:paraId="5E092657" w14:textId="1A899FA5" w:rsidR="006F7BB1" w:rsidRPr="00AD1658" w:rsidRDefault="006F7BB1" w:rsidP="006F7BB1">
            <w:pPr>
              <w:jc w:val="center"/>
              <w:rPr>
                <w:rFonts w:ascii="Century Gothic" w:hAnsi="Century Gothic"/>
              </w:rPr>
            </w:pPr>
            <w:r w:rsidRPr="00B05A9F">
              <w:rPr>
                <w:rFonts w:ascii="Century Gothic" w:hAnsi="Century Gothic" w:cs="Tahoma"/>
                <w:sz w:val="24"/>
                <w:szCs w:val="24"/>
              </w:rPr>
              <w:t>Páginas 118 a la 129</w:t>
            </w:r>
          </w:p>
        </w:tc>
        <w:tc>
          <w:tcPr>
            <w:tcW w:w="2940" w:type="dxa"/>
            <w:vAlign w:val="center"/>
          </w:tcPr>
          <w:p w14:paraId="2010C993" w14:textId="3CEC9F93" w:rsidR="006F7BB1" w:rsidRPr="00AD1658" w:rsidRDefault="006F7BB1" w:rsidP="006F7BB1">
            <w:pPr>
              <w:jc w:val="center"/>
              <w:rPr>
                <w:rFonts w:ascii="Century Gothic" w:hAnsi="Century Gothic"/>
              </w:rPr>
            </w:pPr>
            <w:r w:rsidRPr="00B05A9F">
              <w:rPr>
                <w:rFonts w:ascii="Century Gothic" w:hAnsi="Century Gothic" w:cs="Tahoma"/>
                <w:sz w:val="24"/>
                <w:szCs w:val="24"/>
              </w:rPr>
              <w:t>¡Una mano a la alimentación!</w:t>
            </w:r>
          </w:p>
        </w:tc>
        <w:tc>
          <w:tcPr>
            <w:tcW w:w="3846" w:type="dxa"/>
            <w:vAlign w:val="center"/>
          </w:tcPr>
          <w:p w14:paraId="3F11CA71" w14:textId="19AD0F84" w:rsidR="006F7BB1" w:rsidRPr="00AD1658" w:rsidRDefault="006F7BB1" w:rsidP="006F7BB1">
            <w:pPr>
              <w:jc w:val="both"/>
              <w:rPr>
                <w:rFonts w:ascii="Century Gothic" w:hAnsi="Century Gothic"/>
              </w:rPr>
            </w:pPr>
            <w:r w:rsidRPr="00B05A9F">
              <w:rPr>
                <w:rFonts w:ascii="Century Gothic" w:hAnsi="Century Gothic" w:cs="Tahoma"/>
                <w:kern w:val="0"/>
                <w:sz w:val="24"/>
                <w:szCs w:val="24"/>
              </w:rPr>
              <w:t>Calcular con el método de la mano la cantidad recomendable de alimentos para su consumo. Asimismo, diseñar Vasos medidores que ayuden a preparar un desayuno o refrigerio adecuados, eligiendo comida saludable y fácil de adquirir en su comunidad.</w:t>
            </w:r>
          </w:p>
        </w:tc>
      </w:tr>
    </w:tbl>
    <w:p w14:paraId="099E919D" w14:textId="77777777" w:rsidR="002F59BC" w:rsidRDefault="002F59BC"/>
    <w:sectPr w:rsidR="002F59BC"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05B7C" w14:textId="77777777" w:rsidR="00867B1C" w:rsidRDefault="00867B1C" w:rsidP="000458B3">
      <w:pPr>
        <w:spacing w:after="0" w:line="240" w:lineRule="auto"/>
      </w:pPr>
      <w:r>
        <w:separator/>
      </w:r>
    </w:p>
  </w:endnote>
  <w:endnote w:type="continuationSeparator" w:id="0">
    <w:p w14:paraId="65F1F259" w14:textId="77777777" w:rsidR="00867B1C" w:rsidRDefault="00867B1C" w:rsidP="0004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A2D83" w14:textId="77777777" w:rsidR="00867B1C" w:rsidRDefault="00867B1C" w:rsidP="000458B3">
      <w:pPr>
        <w:spacing w:after="0" w:line="240" w:lineRule="auto"/>
      </w:pPr>
      <w:r>
        <w:separator/>
      </w:r>
    </w:p>
  </w:footnote>
  <w:footnote w:type="continuationSeparator" w:id="0">
    <w:p w14:paraId="1D4C4B6D" w14:textId="77777777" w:rsidR="00867B1C" w:rsidRDefault="00867B1C" w:rsidP="00045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3EB8" w14:textId="4F8E52F7" w:rsidR="000458B3" w:rsidRPr="000458B3" w:rsidRDefault="000458B3" w:rsidP="000458B3">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7EA3C87B" wp14:editId="6C4F0068">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0458B3"/>
    <w:rsid w:val="00063275"/>
    <w:rsid w:val="002C5BA5"/>
    <w:rsid w:val="002F59BC"/>
    <w:rsid w:val="004104AA"/>
    <w:rsid w:val="006F7BB1"/>
    <w:rsid w:val="00867B1C"/>
    <w:rsid w:val="009A5BC5"/>
    <w:rsid w:val="00AD1658"/>
    <w:rsid w:val="00AF2928"/>
    <w:rsid w:val="00B474F4"/>
    <w:rsid w:val="00B51E4C"/>
    <w:rsid w:val="00E57218"/>
    <w:rsid w:val="00FC0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58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58B3"/>
  </w:style>
  <w:style w:type="paragraph" w:styleId="Piedepgina">
    <w:name w:val="footer"/>
    <w:basedOn w:val="Normal"/>
    <w:link w:val="PiedepginaCar"/>
    <w:uiPriority w:val="99"/>
    <w:unhideWhenUsed/>
    <w:rsid w:val="000458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180</Words>
  <Characters>990</Characters>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2025-02-25T18:14:00Z</dcterms:modified>
  <cp:category>www.DidacticosMX.com</cp:category>
</cp:coreProperties>
</file>