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56ED3CB0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6to Grado</w:t>
      </w:r>
    </w:p>
    <w:p w14:paraId="77989C0C" w14:textId="435BE209" w:rsidR="002E23F0" w:rsidRPr="00C825A1" w:rsidRDefault="00BE4336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24 FEBRERO AL 7 MARZO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036"/>
        <w:gridCol w:w="2999"/>
        <w:gridCol w:w="1723"/>
        <w:gridCol w:w="2875"/>
        <w:gridCol w:w="3757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BE4336">
        <w:tc>
          <w:tcPr>
            <w:tcW w:w="3036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999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75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57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BE4336" w:rsidRPr="00AD1658" w14:paraId="3E0896F7" w14:textId="77777777" w:rsidTr="00BE4336">
        <w:tc>
          <w:tcPr>
            <w:tcW w:w="3036" w:type="dxa"/>
            <w:vAlign w:val="center"/>
          </w:tcPr>
          <w:p w14:paraId="2615CD50" w14:textId="3D731013" w:rsidR="00BE4336" w:rsidRPr="00AD1658" w:rsidRDefault="00BE4336" w:rsidP="00BE4336">
            <w:pPr>
              <w:jc w:val="center"/>
              <w:rPr>
                <w:rFonts w:ascii="Century Gothic" w:hAnsi="Century Gothic"/>
              </w:rPr>
            </w:pPr>
            <w:r w:rsidRPr="00BE4336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999" w:type="dxa"/>
            <w:vAlign w:val="center"/>
          </w:tcPr>
          <w:p w14:paraId="2D724138" w14:textId="42ECE125" w:rsidR="00BE4336" w:rsidRPr="00AD1658" w:rsidRDefault="00BE4336" w:rsidP="00BE4336">
            <w:pPr>
              <w:jc w:val="center"/>
              <w:rPr>
                <w:rFonts w:ascii="Century Gothic" w:hAnsi="Century Gothic"/>
              </w:rPr>
            </w:pPr>
            <w:r w:rsidRPr="00BE4336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BE4336">
              <w:rPr>
                <w:rFonts w:ascii="Century Gothic" w:hAnsi="Century Gothic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213FCB2F" w14:textId="77777777" w:rsidR="00BE4336" w:rsidRPr="00984DE5" w:rsidRDefault="00BE4336" w:rsidP="00BE433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84DE5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27628A24" w:rsidR="00BE4336" w:rsidRPr="00AD1658" w:rsidRDefault="00BE4336" w:rsidP="00BE4336">
            <w:pPr>
              <w:jc w:val="center"/>
              <w:rPr>
                <w:rFonts w:ascii="Century Gothic" w:hAnsi="Century Gothic"/>
              </w:rPr>
            </w:pPr>
            <w:r w:rsidRPr="00984DE5">
              <w:rPr>
                <w:rFonts w:ascii="Century Gothic" w:hAnsi="Century Gothic" w:cs="Tahoma"/>
                <w:sz w:val="24"/>
                <w:szCs w:val="24"/>
              </w:rPr>
              <w:t>Páginas 186 a la 201</w:t>
            </w:r>
          </w:p>
        </w:tc>
        <w:tc>
          <w:tcPr>
            <w:tcW w:w="2875" w:type="dxa"/>
            <w:vAlign w:val="center"/>
          </w:tcPr>
          <w:p w14:paraId="1C02C1AD" w14:textId="361F09DF" w:rsidR="00BE4336" w:rsidRPr="00AD1658" w:rsidRDefault="00BE4336" w:rsidP="00BE4336">
            <w:pPr>
              <w:jc w:val="center"/>
              <w:rPr>
                <w:rFonts w:ascii="Century Gothic" w:hAnsi="Century Gothic"/>
              </w:rPr>
            </w:pPr>
            <w:r w:rsidRPr="00984DE5">
              <w:rPr>
                <w:rFonts w:ascii="Century Gothic" w:hAnsi="Century Gothic" w:cs="Tahoma"/>
                <w:kern w:val="0"/>
                <w:sz w:val="24"/>
                <w:szCs w:val="24"/>
              </w:rPr>
              <w:t>Comité Escolar de Prevención de Desastres.</w:t>
            </w:r>
          </w:p>
        </w:tc>
        <w:tc>
          <w:tcPr>
            <w:tcW w:w="3757" w:type="dxa"/>
            <w:vAlign w:val="center"/>
          </w:tcPr>
          <w:p w14:paraId="30CCDB5F" w14:textId="4442B736" w:rsidR="00BE4336" w:rsidRPr="00AD1658" w:rsidRDefault="00BE4336" w:rsidP="00BE4336">
            <w:pPr>
              <w:jc w:val="both"/>
              <w:rPr>
                <w:rFonts w:ascii="Century Gothic" w:hAnsi="Century Gothic"/>
              </w:rPr>
            </w:pPr>
            <w:r w:rsidRPr="00984DE5">
              <w:rPr>
                <w:rFonts w:ascii="Century Gothic" w:hAnsi="Century Gothic" w:cs="Tahoma"/>
                <w:kern w:val="0"/>
                <w:sz w:val="24"/>
                <w:szCs w:val="24"/>
              </w:rPr>
              <w:t>Usar el diálogo como herramienta para llegar a acuerdos con el fin de crear un Comité Escolar de Prevención de Desastres. Para ello, analizar el impacto que los fenómenos naturales y antrópicos han tenido en el mundo, y cómo se requiere que las personas estén atentas ante los posibles desastres y las crisis humanitarias que pudieran surgir.</w:t>
            </w:r>
          </w:p>
        </w:tc>
      </w:tr>
      <w:tr w:rsidR="00BE4336" w:rsidRPr="00AD1658" w14:paraId="11363062" w14:textId="77777777" w:rsidTr="00BE4336">
        <w:tc>
          <w:tcPr>
            <w:tcW w:w="3036" w:type="dxa"/>
            <w:vAlign w:val="center"/>
          </w:tcPr>
          <w:p w14:paraId="6A945832" w14:textId="7F14259E" w:rsidR="00BE4336" w:rsidRPr="00AD1658" w:rsidRDefault="00BE4336" w:rsidP="00BE4336">
            <w:pPr>
              <w:jc w:val="center"/>
              <w:rPr>
                <w:rFonts w:ascii="Century Gothic" w:hAnsi="Century Gothic"/>
              </w:rPr>
            </w:pPr>
            <w:r w:rsidRPr="00BE4336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999" w:type="dxa"/>
            <w:vAlign w:val="center"/>
          </w:tcPr>
          <w:p w14:paraId="58086788" w14:textId="0F8A3686" w:rsidR="00BE4336" w:rsidRPr="00AD1658" w:rsidRDefault="00BE4336" w:rsidP="00BE4336">
            <w:pPr>
              <w:jc w:val="center"/>
              <w:rPr>
                <w:rFonts w:ascii="Century Gothic" w:hAnsi="Century Gothic"/>
              </w:rPr>
            </w:pPr>
            <w:r w:rsidRPr="00BE4336">
              <w:rPr>
                <w:rFonts w:ascii="Century Gothic" w:hAnsi="Century Gothic"/>
              </w:rPr>
              <w:t>Pensamiento crítico</w:t>
            </w:r>
          </w:p>
        </w:tc>
        <w:tc>
          <w:tcPr>
            <w:tcW w:w="1723" w:type="dxa"/>
            <w:vAlign w:val="center"/>
          </w:tcPr>
          <w:p w14:paraId="4E7B796B" w14:textId="77777777" w:rsidR="00BE4336" w:rsidRPr="00984DE5" w:rsidRDefault="00BE4336" w:rsidP="00BE433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84DE5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71EDDFCD" w:rsidR="00BE4336" w:rsidRPr="00AD1658" w:rsidRDefault="00BE4336" w:rsidP="00BE4336">
            <w:pPr>
              <w:jc w:val="center"/>
              <w:rPr>
                <w:rFonts w:ascii="Century Gothic" w:hAnsi="Century Gothic"/>
              </w:rPr>
            </w:pPr>
            <w:r w:rsidRPr="00984DE5">
              <w:rPr>
                <w:rFonts w:ascii="Century Gothic" w:hAnsi="Century Gothic" w:cs="Tahoma"/>
                <w:sz w:val="24"/>
                <w:szCs w:val="24"/>
              </w:rPr>
              <w:t>Páginas 310 a la 323</w:t>
            </w:r>
          </w:p>
        </w:tc>
        <w:tc>
          <w:tcPr>
            <w:tcW w:w="2875" w:type="dxa"/>
            <w:vAlign w:val="center"/>
          </w:tcPr>
          <w:p w14:paraId="0F88FC55" w14:textId="2CB0D950" w:rsidR="00BE4336" w:rsidRPr="00AD1658" w:rsidRDefault="00BE4336" w:rsidP="00BE4336">
            <w:pPr>
              <w:jc w:val="center"/>
              <w:rPr>
                <w:rFonts w:ascii="Century Gothic" w:hAnsi="Century Gothic"/>
              </w:rPr>
            </w:pPr>
            <w:r w:rsidRPr="00984DE5">
              <w:rPr>
                <w:rFonts w:ascii="Century Gothic" w:hAnsi="Century Gothic" w:cs="Tahoma"/>
                <w:kern w:val="0"/>
                <w:sz w:val="24"/>
                <w:szCs w:val="24"/>
              </w:rPr>
              <w:t>Piénsalo la próxima vez.</w:t>
            </w:r>
          </w:p>
        </w:tc>
        <w:tc>
          <w:tcPr>
            <w:tcW w:w="3757" w:type="dxa"/>
            <w:vAlign w:val="center"/>
          </w:tcPr>
          <w:p w14:paraId="1544F34B" w14:textId="6652F51D" w:rsidR="00BE4336" w:rsidRPr="00AD1658" w:rsidRDefault="00BE4336" w:rsidP="00BE4336">
            <w:pPr>
              <w:jc w:val="both"/>
              <w:rPr>
                <w:rFonts w:ascii="Century Gothic" w:hAnsi="Century Gothic"/>
              </w:rPr>
            </w:pPr>
            <w:r w:rsidRPr="00984DE5">
              <w:rPr>
                <w:rFonts w:ascii="Century Gothic" w:hAnsi="Century Gothic" w:cs="Tahoma"/>
                <w:kern w:val="0"/>
                <w:sz w:val="24"/>
                <w:szCs w:val="24"/>
              </w:rPr>
              <w:t>Analizar algún conflicto de su comunidad y diseñar una campaña de difusión para sugerir soluciones por medio de la cultura de paz.</w:t>
            </w:r>
          </w:p>
        </w:tc>
      </w:tr>
      <w:tr w:rsidR="00BE4336" w:rsidRPr="00AD1658" w14:paraId="28903A2D" w14:textId="77777777" w:rsidTr="00BE4336">
        <w:tc>
          <w:tcPr>
            <w:tcW w:w="3036" w:type="dxa"/>
            <w:vAlign w:val="center"/>
          </w:tcPr>
          <w:p w14:paraId="66EAD28D" w14:textId="5DB38BB3" w:rsidR="00BE4336" w:rsidRPr="00AD1658" w:rsidRDefault="00BE4336" w:rsidP="00BE4336">
            <w:pPr>
              <w:jc w:val="center"/>
              <w:rPr>
                <w:rFonts w:ascii="Century Gothic" w:hAnsi="Century Gothic"/>
              </w:rPr>
            </w:pPr>
            <w:r w:rsidRPr="00BE4336">
              <w:rPr>
                <w:rFonts w:ascii="Century Gothic" w:hAnsi="Century Gothic"/>
              </w:rPr>
              <w:t>Lenguajes</w:t>
            </w:r>
          </w:p>
        </w:tc>
        <w:tc>
          <w:tcPr>
            <w:tcW w:w="2999" w:type="dxa"/>
            <w:vAlign w:val="center"/>
          </w:tcPr>
          <w:p w14:paraId="599C58D7" w14:textId="6FF392FA" w:rsidR="00BE4336" w:rsidRPr="00AD1658" w:rsidRDefault="00BE4336" w:rsidP="00BE4336">
            <w:pPr>
              <w:jc w:val="center"/>
              <w:rPr>
                <w:rFonts w:ascii="Century Gothic" w:hAnsi="Century Gothic"/>
              </w:rPr>
            </w:pPr>
            <w:r w:rsidRPr="00BE4336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BE4336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BE4336">
              <w:rPr>
                <w:rFonts w:ascii="Century Gothic" w:hAnsi="Century Gothic"/>
              </w:rPr>
              <w:t>Igualdad de género</w:t>
            </w:r>
          </w:p>
        </w:tc>
        <w:tc>
          <w:tcPr>
            <w:tcW w:w="1723" w:type="dxa"/>
            <w:vAlign w:val="center"/>
          </w:tcPr>
          <w:p w14:paraId="179237CC" w14:textId="77777777" w:rsidR="00BE4336" w:rsidRPr="00984DE5" w:rsidRDefault="00BE4336" w:rsidP="00BE433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84DE5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5F7353EA" w:rsidR="00BE4336" w:rsidRPr="00AD1658" w:rsidRDefault="00BE4336" w:rsidP="00BE4336">
            <w:pPr>
              <w:jc w:val="center"/>
              <w:rPr>
                <w:rFonts w:ascii="Century Gothic" w:hAnsi="Century Gothic"/>
              </w:rPr>
            </w:pPr>
            <w:r w:rsidRPr="00984DE5">
              <w:rPr>
                <w:rFonts w:ascii="Century Gothic" w:hAnsi="Century Gothic" w:cs="Tahoma"/>
                <w:sz w:val="24"/>
                <w:szCs w:val="24"/>
              </w:rPr>
              <w:t>Páginas 86 a la 97</w:t>
            </w:r>
          </w:p>
        </w:tc>
        <w:tc>
          <w:tcPr>
            <w:tcW w:w="2875" w:type="dxa"/>
            <w:vAlign w:val="center"/>
          </w:tcPr>
          <w:p w14:paraId="2010C993" w14:textId="39CC13F0" w:rsidR="00BE4336" w:rsidRPr="00AD1658" w:rsidRDefault="00BE4336" w:rsidP="00BE4336">
            <w:pPr>
              <w:jc w:val="center"/>
              <w:rPr>
                <w:rFonts w:ascii="Century Gothic" w:hAnsi="Century Gothic"/>
              </w:rPr>
            </w:pPr>
            <w:r w:rsidRPr="00984DE5">
              <w:rPr>
                <w:rFonts w:ascii="Century Gothic" w:hAnsi="Century Gothic" w:cs="Tahoma"/>
                <w:kern w:val="0"/>
                <w:sz w:val="24"/>
                <w:szCs w:val="24"/>
              </w:rPr>
              <w:t>¡Mi comunidad se expresa!</w:t>
            </w:r>
          </w:p>
        </w:tc>
        <w:tc>
          <w:tcPr>
            <w:tcW w:w="3757" w:type="dxa"/>
            <w:vAlign w:val="center"/>
          </w:tcPr>
          <w:p w14:paraId="3F11CA71" w14:textId="1EE1B871" w:rsidR="00BE4336" w:rsidRPr="00AD1658" w:rsidRDefault="00BE4336" w:rsidP="00BE4336">
            <w:pPr>
              <w:jc w:val="both"/>
              <w:rPr>
                <w:rFonts w:ascii="Century Gothic" w:hAnsi="Century Gothic"/>
              </w:rPr>
            </w:pPr>
            <w:r w:rsidRPr="00984DE5">
              <w:rPr>
                <w:rFonts w:ascii="Century Gothic" w:hAnsi="Century Gothic" w:cs="Tahoma"/>
                <w:kern w:val="0"/>
                <w:sz w:val="24"/>
                <w:szCs w:val="24"/>
              </w:rPr>
              <w:t>Convertirse en un cuentacuentos de textos literarios para fomentar la convivencia pacífica y compartir con la comunidad, mediante distintas maneras de expresión como los movimientos, gestos, sonidos o colores.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CCF0E" w14:textId="77777777" w:rsidR="005F17D7" w:rsidRDefault="005F17D7" w:rsidP="00C825A1">
      <w:pPr>
        <w:spacing w:after="0" w:line="240" w:lineRule="auto"/>
      </w:pPr>
      <w:r>
        <w:separator/>
      </w:r>
    </w:p>
  </w:endnote>
  <w:endnote w:type="continuationSeparator" w:id="0">
    <w:p w14:paraId="71A771C2" w14:textId="77777777" w:rsidR="005F17D7" w:rsidRDefault="005F17D7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2E164" w14:textId="77777777" w:rsidR="005F17D7" w:rsidRDefault="005F17D7" w:rsidP="00C825A1">
      <w:pPr>
        <w:spacing w:after="0" w:line="240" w:lineRule="auto"/>
      </w:pPr>
      <w:r>
        <w:separator/>
      </w:r>
    </w:p>
  </w:footnote>
  <w:footnote w:type="continuationSeparator" w:id="0">
    <w:p w14:paraId="78846D23" w14:textId="77777777" w:rsidR="005F17D7" w:rsidRDefault="005F17D7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1D297B"/>
    <w:rsid w:val="002E23F0"/>
    <w:rsid w:val="002F59BC"/>
    <w:rsid w:val="004104AA"/>
    <w:rsid w:val="005F17D7"/>
    <w:rsid w:val="009A5BC5"/>
    <w:rsid w:val="00AD1658"/>
    <w:rsid w:val="00B474F4"/>
    <w:rsid w:val="00B51E4C"/>
    <w:rsid w:val="00BE4336"/>
    <w:rsid w:val="00C65812"/>
    <w:rsid w:val="00C825A1"/>
    <w:rsid w:val="00C82D7E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999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2025-02-18T00:26:00Z</dcterms:modified>
  <cp:category>www.DidacticosMX.com</cp:category>
</cp:coreProperties>
</file>