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660FC199" w:rsidR="00AD1658" w:rsidRDefault="000811FC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5to Grado</w:t>
      </w:r>
    </w:p>
    <w:p w14:paraId="17C42AB9" w14:textId="66AE05DE" w:rsidR="00810595" w:rsidRPr="000811FC" w:rsidRDefault="00EB6F7F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24 FEBRERO AL 7 MARZO</w:t>
      </w: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3035"/>
        <w:gridCol w:w="2998"/>
        <w:gridCol w:w="1723"/>
        <w:gridCol w:w="2883"/>
        <w:gridCol w:w="3751"/>
      </w:tblGrid>
      <w:tr w:rsidR="00AD1658" w:rsidRPr="00AD1658" w14:paraId="51312299" w14:textId="77777777" w:rsidTr="00CD5FC1">
        <w:tc>
          <w:tcPr>
            <w:tcW w:w="14390" w:type="dxa"/>
            <w:gridSpan w:val="5"/>
            <w:shd w:val="clear" w:color="auto" w:fill="FFDFAF"/>
            <w:vAlign w:val="center"/>
          </w:tcPr>
          <w:p w14:paraId="7345A0A7" w14:textId="2FE12B30" w:rsidR="00AD1658" w:rsidRPr="00AD1658" w:rsidRDefault="00810595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CD5FC1">
        <w:tc>
          <w:tcPr>
            <w:tcW w:w="3114" w:type="dxa"/>
            <w:shd w:val="clear" w:color="auto" w:fill="FFEED5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FFEED5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FFEED5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FFEED5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FFEED5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EB6F7F" w:rsidRPr="00AD1658" w14:paraId="3E0896F7" w14:textId="77777777" w:rsidTr="00CD5FC1">
        <w:tc>
          <w:tcPr>
            <w:tcW w:w="3114" w:type="dxa"/>
            <w:vAlign w:val="center"/>
          </w:tcPr>
          <w:p w14:paraId="2615CD50" w14:textId="0C501B44" w:rsidR="00EB6F7F" w:rsidRPr="00AD1658" w:rsidRDefault="00EB6F7F" w:rsidP="00EB6F7F">
            <w:pPr>
              <w:jc w:val="center"/>
              <w:rPr>
                <w:rFonts w:ascii="Century Gothic" w:hAnsi="Century Gothic"/>
              </w:rPr>
            </w:pPr>
            <w:r w:rsidRPr="00EB6F7F">
              <w:rPr>
                <w:rFonts w:ascii="Century Gothic" w:hAnsi="Century Gothic"/>
              </w:rPr>
              <w:t>Lenguajes</w:t>
            </w:r>
          </w:p>
        </w:tc>
        <w:tc>
          <w:tcPr>
            <w:tcW w:w="3051" w:type="dxa"/>
            <w:vAlign w:val="center"/>
          </w:tcPr>
          <w:p w14:paraId="2D724138" w14:textId="21E6978A" w:rsidR="00EB6F7F" w:rsidRPr="00AD1658" w:rsidRDefault="00EB6F7F" w:rsidP="00EB6F7F">
            <w:pPr>
              <w:jc w:val="center"/>
              <w:rPr>
                <w:rFonts w:ascii="Century Gothic" w:hAnsi="Century Gothic"/>
              </w:rPr>
            </w:pPr>
            <w:r w:rsidRPr="00EB6F7F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EB6F7F">
              <w:rPr>
                <w:rFonts w:ascii="Century Gothic" w:hAnsi="Century Gothic"/>
              </w:rPr>
              <w:t>Apropiación de las culturas a través de la lectura y la escritura</w:t>
            </w:r>
            <w:r>
              <w:rPr>
                <w:rFonts w:ascii="Century Gothic" w:hAnsi="Century Gothic"/>
              </w:rPr>
              <w:t xml:space="preserve">, </w:t>
            </w:r>
            <w:r w:rsidRPr="00EB6F7F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439" w:type="dxa"/>
            <w:vAlign w:val="center"/>
          </w:tcPr>
          <w:p w14:paraId="2CC94232" w14:textId="77777777" w:rsidR="00EB6F7F" w:rsidRPr="004F690A" w:rsidRDefault="00EB6F7F" w:rsidP="00EB6F7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4F690A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133CBBF1" w14:textId="3FFD4F02" w:rsidR="00EB6F7F" w:rsidRPr="00AD1658" w:rsidRDefault="00EB6F7F" w:rsidP="00EB6F7F">
            <w:pPr>
              <w:jc w:val="center"/>
              <w:rPr>
                <w:rFonts w:ascii="Century Gothic" w:hAnsi="Century Gothic"/>
              </w:rPr>
            </w:pPr>
            <w:r w:rsidRPr="004F690A">
              <w:rPr>
                <w:rFonts w:ascii="Century Gothic" w:hAnsi="Century Gothic" w:cs="Tahoma"/>
                <w:sz w:val="24"/>
                <w:szCs w:val="24"/>
              </w:rPr>
              <w:t>Páginas 114 a la 125</w:t>
            </w:r>
          </w:p>
        </w:tc>
        <w:tc>
          <w:tcPr>
            <w:tcW w:w="2940" w:type="dxa"/>
            <w:vAlign w:val="center"/>
          </w:tcPr>
          <w:p w14:paraId="1C02C1AD" w14:textId="7D3A615B" w:rsidR="00EB6F7F" w:rsidRPr="00AD1658" w:rsidRDefault="00EB6F7F" w:rsidP="00EB6F7F">
            <w:pPr>
              <w:jc w:val="center"/>
              <w:rPr>
                <w:rFonts w:ascii="Century Gothic" w:hAnsi="Century Gothic"/>
              </w:rPr>
            </w:pPr>
            <w:r w:rsidRPr="004F690A">
              <w:rPr>
                <w:rFonts w:ascii="Century Gothic" w:hAnsi="Century Gothic" w:cs="Tahoma"/>
                <w:kern w:val="0"/>
                <w:sz w:val="24"/>
                <w:szCs w:val="24"/>
              </w:rPr>
              <w:t>Mi cuerpo habla.</w:t>
            </w:r>
          </w:p>
        </w:tc>
        <w:tc>
          <w:tcPr>
            <w:tcW w:w="3846" w:type="dxa"/>
            <w:vAlign w:val="center"/>
          </w:tcPr>
          <w:p w14:paraId="30CCDB5F" w14:textId="12032109" w:rsidR="00EB6F7F" w:rsidRPr="00AD1658" w:rsidRDefault="00EB6F7F" w:rsidP="00EB6F7F">
            <w:pPr>
              <w:jc w:val="both"/>
              <w:rPr>
                <w:rFonts w:ascii="Century Gothic" w:hAnsi="Century Gothic"/>
              </w:rPr>
            </w:pPr>
            <w:r w:rsidRPr="004F690A">
              <w:rPr>
                <w:rFonts w:ascii="Century Gothic" w:hAnsi="Century Gothic" w:cs="Tahoma"/>
                <w:kern w:val="0"/>
                <w:sz w:val="24"/>
                <w:szCs w:val="24"/>
              </w:rPr>
              <w:t>Reflexionar sobre las características de los textos dramáticos para aplicarlas en su propia oralidad y redacción, con la finalidad de practicar nuevas formas de expresión al leer y escribir para ellos y para los demás.</w:t>
            </w:r>
          </w:p>
        </w:tc>
      </w:tr>
      <w:tr w:rsidR="00EB6F7F" w:rsidRPr="00AD1658" w14:paraId="11363062" w14:textId="77777777" w:rsidTr="00CD5FC1">
        <w:tc>
          <w:tcPr>
            <w:tcW w:w="3114" w:type="dxa"/>
            <w:vAlign w:val="center"/>
          </w:tcPr>
          <w:p w14:paraId="6A945832" w14:textId="1A295670" w:rsidR="00EB6F7F" w:rsidRPr="00AD1658" w:rsidRDefault="00EB6F7F" w:rsidP="00EB6F7F">
            <w:pPr>
              <w:jc w:val="center"/>
              <w:rPr>
                <w:rFonts w:ascii="Century Gothic" w:hAnsi="Century Gothic"/>
              </w:rPr>
            </w:pPr>
            <w:r w:rsidRPr="00EB6F7F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51" w:type="dxa"/>
            <w:vAlign w:val="center"/>
          </w:tcPr>
          <w:p w14:paraId="58086788" w14:textId="0DC4EBFA" w:rsidR="00EB6F7F" w:rsidRPr="00AD1658" w:rsidRDefault="00EB6F7F" w:rsidP="00EB6F7F">
            <w:pPr>
              <w:jc w:val="center"/>
              <w:rPr>
                <w:rFonts w:ascii="Century Gothic" w:hAnsi="Century Gothic"/>
              </w:rPr>
            </w:pPr>
            <w:r w:rsidRPr="00EB6F7F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EB6F7F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EB6F7F">
              <w:rPr>
                <w:rFonts w:ascii="Century Gothic" w:hAnsi="Century Gothic"/>
              </w:rPr>
              <w:t>Igualdad de género</w:t>
            </w:r>
            <w:r>
              <w:rPr>
                <w:rFonts w:ascii="Century Gothic" w:hAnsi="Century Gothic"/>
              </w:rPr>
              <w:t xml:space="preserve">, </w:t>
            </w:r>
            <w:r w:rsidRPr="00EB6F7F">
              <w:rPr>
                <w:rFonts w:ascii="Century Gothic" w:hAnsi="Century Gothic"/>
              </w:rPr>
              <w:t>Vida saludable</w:t>
            </w:r>
          </w:p>
        </w:tc>
        <w:tc>
          <w:tcPr>
            <w:tcW w:w="1439" w:type="dxa"/>
            <w:vAlign w:val="center"/>
          </w:tcPr>
          <w:p w14:paraId="1D171596" w14:textId="77777777" w:rsidR="00EB6F7F" w:rsidRPr="004F690A" w:rsidRDefault="00EB6F7F" w:rsidP="00EB6F7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4F690A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5789F6D" w14:textId="19A3E1A1" w:rsidR="00EB6F7F" w:rsidRPr="00AD1658" w:rsidRDefault="00EB6F7F" w:rsidP="00EB6F7F">
            <w:pPr>
              <w:jc w:val="center"/>
              <w:rPr>
                <w:rFonts w:ascii="Century Gothic" w:hAnsi="Century Gothic"/>
              </w:rPr>
            </w:pPr>
            <w:r w:rsidRPr="004F690A">
              <w:rPr>
                <w:rFonts w:ascii="Century Gothic" w:hAnsi="Century Gothic" w:cs="Tahoma"/>
                <w:sz w:val="24"/>
                <w:szCs w:val="24"/>
              </w:rPr>
              <w:t>Páginas 276 a la 289</w:t>
            </w:r>
          </w:p>
        </w:tc>
        <w:tc>
          <w:tcPr>
            <w:tcW w:w="2940" w:type="dxa"/>
            <w:vAlign w:val="center"/>
          </w:tcPr>
          <w:p w14:paraId="0F88FC55" w14:textId="10B48CF4" w:rsidR="00EB6F7F" w:rsidRPr="00AD1658" w:rsidRDefault="00EB6F7F" w:rsidP="00EB6F7F">
            <w:pPr>
              <w:jc w:val="center"/>
              <w:rPr>
                <w:rFonts w:ascii="Century Gothic" w:hAnsi="Century Gothic"/>
              </w:rPr>
            </w:pPr>
            <w:r w:rsidRPr="004F690A">
              <w:rPr>
                <w:rFonts w:ascii="Century Gothic" w:hAnsi="Century Gothic" w:cs="Tahoma"/>
                <w:kern w:val="0"/>
                <w:sz w:val="24"/>
                <w:szCs w:val="24"/>
              </w:rPr>
              <w:t>Coordinando ando.</w:t>
            </w:r>
          </w:p>
        </w:tc>
        <w:tc>
          <w:tcPr>
            <w:tcW w:w="3846" w:type="dxa"/>
            <w:vAlign w:val="center"/>
          </w:tcPr>
          <w:p w14:paraId="1544F34B" w14:textId="6CC4245E" w:rsidR="00EB6F7F" w:rsidRPr="00AD1658" w:rsidRDefault="00EB6F7F" w:rsidP="00EB6F7F">
            <w:pPr>
              <w:jc w:val="both"/>
              <w:rPr>
                <w:rFonts w:ascii="Century Gothic" w:hAnsi="Century Gothic"/>
              </w:rPr>
            </w:pPr>
            <w:r w:rsidRPr="004F690A">
              <w:rPr>
                <w:rFonts w:ascii="Century Gothic" w:hAnsi="Century Gothic" w:cs="Tahoma"/>
                <w:kern w:val="0"/>
                <w:sz w:val="24"/>
                <w:szCs w:val="24"/>
              </w:rPr>
              <w:t>Reconocer y valorar sus capacidades y desempeño al practicar juegos colectivos e individuales y organizar con sus compañeros un Circuito de juegos donde pongan en práctica sus habilidades y destrezas motrices.</w:t>
            </w:r>
          </w:p>
        </w:tc>
      </w:tr>
      <w:tr w:rsidR="00EB6F7F" w:rsidRPr="00AD1658" w14:paraId="28903A2D" w14:textId="77777777" w:rsidTr="00CD5FC1">
        <w:tc>
          <w:tcPr>
            <w:tcW w:w="3114" w:type="dxa"/>
            <w:vAlign w:val="center"/>
          </w:tcPr>
          <w:p w14:paraId="66EAD28D" w14:textId="78074F4E" w:rsidR="00EB6F7F" w:rsidRPr="00AD1658" w:rsidRDefault="00EB6F7F" w:rsidP="00EB6F7F">
            <w:pPr>
              <w:jc w:val="center"/>
              <w:rPr>
                <w:rFonts w:ascii="Century Gothic" w:hAnsi="Century Gothic"/>
              </w:rPr>
            </w:pPr>
            <w:r w:rsidRPr="00EB6F7F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599C58D7" w14:textId="05EC9E7E" w:rsidR="00EB6F7F" w:rsidRPr="00AD1658" w:rsidRDefault="00EB6F7F" w:rsidP="00EB6F7F">
            <w:pPr>
              <w:jc w:val="center"/>
              <w:rPr>
                <w:rFonts w:ascii="Century Gothic" w:hAnsi="Century Gothic"/>
              </w:rPr>
            </w:pPr>
            <w:r w:rsidRPr="00EB6F7F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EB6F7F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EB6F7F">
              <w:rPr>
                <w:rFonts w:ascii="Century Gothic" w:hAnsi="Century Gothic"/>
              </w:rPr>
              <w:t>Vida saludable</w:t>
            </w:r>
          </w:p>
        </w:tc>
        <w:tc>
          <w:tcPr>
            <w:tcW w:w="1439" w:type="dxa"/>
            <w:vAlign w:val="center"/>
          </w:tcPr>
          <w:p w14:paraId="3BB408EF" w14:textId="77777777" w:rsidR="00EB6F7F" w:rsidRPr="004F690A" w:rsidRDefault="00EB6F7F" w:rsidP="00EB6F7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4F690A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E092657" w14:textId="04C78A20" w:rsidR="00EB6F7F" w:rsidRPr="00AD1658" w:rsidRDefault="00EB6F7F" w:rsidP="00EB6F7F">
            <w:pPr>
              <w:jc w:val="center"/>
              <w:rPr>
                <w:rFonts w:ascii="Century Gothic" w:hAnsi="Century Gothic"/>
              </w:rPr>
            </w:pPr>
            <w:r w:rsidRPr="004F690A">
              <w:rPr>
                <w:rFonts w:ascii="Century Gothic" w:hAnsi="Century Gothic" w:cs="Tahoma"/>
                <w:sz w:val="24"/>
                <w:szCs w:val="24"/>
              </w:rPr>
              <w:t>Páginas 240 a la 251</w:t>
            </w:r>
          </w:p>
        </w:tc>
        <w:tc>
          <w:tcPr>
            <w:tcW w:w="2940" w:type="dxa"/>
            <w:vAlign w:val="center"/>
          </w:tcPr>
          <w:p w14:paraId="2010C993" w14:textId="4BAD548B" w:rsidR="00EB6F7F" w:rsidRPr="00AD1658" w:rsidRDefault="00EB6F7F" w:rsidP="00EB6F7F">
            <w:pPr>
              <w:jc w:val="center"/>
              <w:rPr>
                <w:rFonts w:ascii="Century Gothic" w:hAnsi="Century Gothic"/>
              </w:rPr>
            </w:pPr>
            <w:r w:rsidRPr="004F690A">
              <w:rPr>
                <w:rFonts w:ascii="Century Gothic" w:hAnsi="Century Gothic" w:cs="Tahoma"/>
                <w:kern w:val="0"/>
                <w:sz w:val="24"/>
                <w:szCs w:val="24"/>
              </w:rPr>
              <w:t>Maíz, el sabor de México.</w:t>
            </w:r>
          </w:p>
        </w:tc>
        <w:tc>
          <w:tcPr>
            <w:tcW w:w="3846" w:type="dxa"/>
            <w:vAlign w:val="center"/>
          </w:tcPr>
          <w:p w14:paraId="3F11CA71" w14:textId="11490ED1" w:rsidR="00EB6F7F" w:rsidRPr="00AD1658" w:rsidRDefault="00EB6F7F" w:rsidP="00EB6F7F">
            <w:pPr>
              <w:jc w:val="both"/>
              <w:rPr>
                <w:rFonts w:ascii="Century Gothic" w:hAnsi="Century Gothic"/>
              </w:rPr>
            </w:pPr>
            <w:r w:rsidRPr="004F690A">
              <w:rPr>
                <w:rFonts w:ascii="Century Gothic" w:hAnsi="Century Gothic" w:cs="Tahoma"/>
                <w:kern w:val="0"/>
                <w:sz w:val="24"/>
                <w:szCs w:val="24"/>
              </w:rPr>
              <w:t>Reflexionar sobre la importancia que tiene el maíz para los pueblos originarios y las comunidades actuales. Asimismo, entender por qué se está en pie de lucha para proteger y fomentar el cultivo de maíz nativo. Valorar sus beneficios nutricionales y su aporte culinario. Culminar con una muestra gastronómica.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21E39" w14:textId="77777777" w:rsidR="004C15A5" w:rsidRDefault="004C15A5" w:rsidP="000811FC">
      <w:pPr>
        <w:spacing w:after="0" w:line="240" w:lineRule="auto"/>
      </w:pPr>
      <w:r>
        <w:separator/>
      </w:r>
    </w:p>
  </w:endnote>
  <w:endnote w:type="continuationSeparator" w:id="0">
    <w:p w14:paraId="382C724C" w14:textId="77777777" w:rsidR="004C15A5" w:rsidRDefault="004C15A5" w:rsidP="0008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3EABC" w14:textId="77777777" w:rsidR="004C15A5" w:rsidRDefault="004C15A5" w:rsidP="000811FC">
      <w:pPr>
        <w:spacing w:after="0" w:line="240" w:lineRule="auto"/>
      </w:pPr>
      <w:r>
        <w:separator/>
      </w:r>
    </w:p>
  </w:footnote>
  <w:footnote w:type="continuationSeparator" w:id="0">
    <w:p w14:paraId="772F4A2D" w14:textId="77777777" w:rsidR="004C15A5" w:rsidRDefault="004C15A5" w:rsidP="0008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BC74C" w14:textId="35B18579" w:rsidR="000811FC" w:rsidRPr="000811FC" w:rsidRDefault="000811FC" w:rsidP="000811FC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0CFCC4E" wp14:editId="58D2CE0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3533427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811FC"/>
    <w:rsid w:val="001D297B"/>
    <w:rsid w:val="002C7D29"/>
    <w:rsid w:val="002D37A9"/>
    <w:rsid w:val="002F59BC"/>
    <w:rsid w:val="003F05D5"/>
    <w:rsid w:val="004104AA"/>
    <w:rsid w:val="004C15A5"/>
    <w:rsid w:val="00810595"/>
    <w:rsid w:val="009A5BC5"/>
    <w:rsid w:val="00AD1658"/>
    <w:rsid w:val="00B474F4"/>
    <w:rsid w:val="00B51E4C"/>
    <w:rsid w:val="00CD5FC1"/>
    <w:rsid w:val="00EB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1FC"/>
  </w:style>
  <w:style w:type="paragraph" w:styleId="Piedepgina">
    <w:name w:val="footer"/>
    <w:basedOn w:val="Normal"/>
    <w:link w:val="Piedepgina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5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205</Words>
  <Characters>1132</Characters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2025-02-18T00:29:00Z</dcterms:modified>
  <cp:category>www.DidacticosMX.com</cp:category>
</cp:coreProperties>
</file>