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DF972" w14:textId="261E0EFF" w:rsidR="00AD1658" w:rsidRDefault="0040208D" w:rsidP="0040208D">
      <w:pPr>
        <w:spacing w:after="0"/>
        <w:jc w:val="center"/>
        <w:rPr>
          <w:rFonts w:ascii="Century Gothic" w:hAnsi="Century Gothic"/>
          <w:b/>
          <w:bCs/>
          <w:sz w:val="32"/>
          <w:szCs w:val="32"/>
        </w:rPr>
      </w:pPr>
      <w:r>
        <w:rPr>
          <w:rFonts w:ascii="Century Gothic" w:hAnsi="Century Gothic"/>
          <w:b/>
          <w:bCs/>
          <w:sz w:val="32"/>
          <w:szCs w:val="32"/>
        </w:rPr>
        <w:t>3er Grado</w:t>
      </w:r>
    </w:p>
    <w:p w14:paraId="48B3BB10" w14:textId="78B7516A" w:rsidR="00E217F1" w:rsidRPr="0040208D" w:rsidRDefault="00CC5A7E" w:rsidP="0040208D">
      <w:pPr>
        <w:spacing w:after="0"/>
        <w:jc w:val="center"/>
        <w:rPr>
          <w:rFonts w:ascii="Century Gothic" w:hAnsi="Century Gothic"/>
          <w:b/>
          <w:bCs/>
          <w:sz w:val="32"/>
          <w:szCs w:val="32"/>
        </w:rPr>
      </w:pPr>
      <w:r>
        <w:rPr>
          <w:rFonts w:ascii="Century Gothic" w:hAnsi="Century Gothic"/>
          <w:b/>
          <w:bCs/>
          <w:sz w:val="32"/>
          <w:szCs w:val="32"/>
        </w:rPr>
        <w:t>24 FEBRERO AL 7 MARZO</w:t>
      </w:r>
    </w:p>
    <w:tbl>
      <w:tblPr>
        <w:tblStyle w:val="Tablaconcuadrcula"/>
        <w:tblW w:w="0" w:type="auto"/>
        <w:tblBorders>
          <w:top w:val="single" w:sz="4" w:space="0" w:color="69A6FF"/>
          <w:left w:val="single" w:sz="4" w:space="0" w:color="69A6FF"/>
          <w:bottom w:val="single" w:sz="4" w:space="0" w:color="69A6FF"/>
          <w:right w:val="single" w:sz="4" w:space="0" w:color="69A6FF"/>
          <w:insideH w:val="single" w:sz="4" w:space="0" w:color="69A6FF"/>
          <w:insideV w:val="single" w:sz="4" w:space="0" w:color="69A6FF"/>
        </w:tblBorders>
        <w:tblLook w:val="04A0" w:firstRow="1" w:lastRow="0" w:firstColumn="1" w:lastColumn="0" w:noHBand="0" w:noVBand="1"/>
      </w:tblPr>
      <w:tblGrid>
        <w:gridCol w:w="2689"/>
        <w:gridCol w:w="3355"/>
        <w:gridCol w:w="1723"/>
        <w:gridCol w:w="1867"/>
        <w:gridCol w:w="4756"/>
      </w:tblGrid>
      <w:tr w:rsidR="00AD1658" w:rsidRPr="00AD1658" w14:paraId="51312299" w14:textId="77777777" w:rsidTr="0072408D">
        <w:tc>
          <w:tcPr>
            <w:tcW w:w="14390" w:type="dxa"/>
            <w:gridSpan w:val="5"/>
            <w:shd w:val="clear" w:color="auto" w:fill="C1DAFF"/>
            <w:vAlign w:val="center"/>
          </w:tcPr>
          <w:p w14:paraId="7345A0A7" w14:textId="7C5F74E2" w:rsidR="00AD1658" w:rsidRPr="00AD1658" w:rsidRDefault="00E217F1" w:rsidP="00AD1658">
            <w:pPr>
              <w:jc w:val="center"/>
              <w:rPr>
                <w:rFonts w:ascii="Century Gothic" w:hAnsi="Century Gothic"/>
                <w:b/>
                <w:bCs/>
                <w:sz w:val="26"/>
                <w:szCs w:val="26"/>
              </w:rPr>
            </w:pPr>
            <w:r>
              <w:rPr>
                <w:rFonts w:ascii="Century Gothic" w:hAnsi="Century Gothic"/>
                <w:b/>
                <w:bCs/>
                <w:sz w:val="26"/>
                <w:szCs w:val="26"/>
              </w:rPr>
              <w:t>DOSIFICACIÓN</w:t>
            </w:r>
          </w:p>
        </w:tc>
      </w:tr>
      <w:tr w:rsidR="00AD1658" w:rsidRPr="00AD1658" w14:paraId="0ED89697" w14:textId="77777777" w:rsidTr="00CC5A7E">
        <w:tc>
          <w:tcPr>
            <w:tcW w:w="2689" w:type="dxa"/>
            <w:shd w:val="clear" w:color="auto" w:fill="E5F0FF"/>
            <w:vAlign w:val="center"/>
          </w:tcPr>
          <w:p w14:paraId="2010CF81" w14:textId="0E05CB10"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Campo Formativo</w:t>
            </w:r>
          </w:p>
        </w:tc>
        <w:tc>
          <w:tcPr>
            <w:tcW w:w="3355" w:type="dxa"/>
            <w:shd w:val="clear" w:color="auto" w:fill="E5F0FF"/>
            <w:vAlign w:val="center"/>
          </w:tcPr>
          <w:p w14:paraId="3FF55929" w14:textId="2775533F"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Ejes articuladores</w:t>
            </w:r>
          </w:p>
        </w:tc>
        <w:tc>
          <w:tcPr>
            <w:tcW w:w="1723" w:type="dxa"/>
            <w:shd w:val="clear" w:color="auto" w:fill="E5F0FF"/>
            <w:vAlign w:val="center"/>
          </w:tcPr>
          <w:p w14:paraId="426A56CE" w14:textId="6F50816E"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Escenario</w:t>
            </w:r>
          </w:p>
        </w:tc>
        <w:tc>
          <w:tcPr>
            <w:tcW w:w="1867" w:type="dxa"/>
            <w:shd w:val="clear" w:color="auto" w:fill="E5F0FF"/>
            <w:vAlign w:val="center"/>
          </w:tcPr>
          <w:p w14:paraId="0490FFAC" w14:textId="4AF7C1E6"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Nombre del proyecto</w:t>
            </w:r>
          </w:p>
        </w:tc>
        <w:tc>
          <w:tcPr>
            <w:tcW w:w="4756" w:type="dxa"/>
            <w:shd w:val="clear" w:color="auto" w:fill="E5F0FF"/>
            <w:vAlign w:val="center"/>
          </w:tcPr>
          <w:p w14:paraId="49AD0D00" w14:textId="0DD44579"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Propósito</w:t>
            </w:r>
          </w:p>
        </w:tc>
      </w:tr>
      <w:tr w:rsidR="00CC5A7E" w:rsidRPr="00AD1658" w14:paraId="3E0896F7" w14:textId="77777777" w:rsidTr="00CC5A7E">
        <w:tc>
          <w:tcPr>
            <w:tcW w:w="2689" w:type="dxa"/>
            <w:vAlign w:val="center"/>
          </w:tcPr>
          <w:p w14:paraId="2615CD50" w14:textId="13A6A7CF" w:rsidR="00CC5A7E" w:rsidRPr="00AD1658" w:rsidRDefault="00CC5A7E" w:rsidP="00CC5A7E">
            <w:pPr>
              <w:jc w:val="center"/>
              <w:rPr>
                <w:rFonts w:ascii="Century Gothic" w:hAnsi="Century Gothic"/>
              </w:rPr>
            </w:pPr>
            <w:r w:rsidRPr="00CC5A7E">
              <w:rPr>
                <w:rFonts w:ascii="Century Gothic" w:hAnsi="Century Gothic"/>
              </w:rPr>
              <w:t>Saberes y pensamiento científico</w:t>
            </w:r>
          </w:p>
        </w:tc>
        <w:tc>
          <w:tcPr>
            <w:tcW w:w="3355" w:type="dxa"/>
            <w:vAlign w:val="center"/>
          </w:tcPr>
          <w:p w14:paraId="2D724138" w14:textId="337B1217" w:rsidR="00CC5A7E" w:rsidRPr="00AD1658" w:rsidRDefault="00CC5A7E" w:rsidP="00CC5A7E">
            <w:pPr>
              <w:jc w:val="center"/>
              <w:rPr>
                <w:rFonts w:ascii="Century Gothic" w:hAnsi="Century Gothic"/>
              </w:rPr>
            </w:pPr>
            <w:r w:rsidRPr="00CC5A7E">
              <w:rPr>
                <w:rFonts w:ascii="Century Gothic" w:hAnsi="Century Gothic"/>
              </w:rPr>
              <w:t>Pensamiento crítico</w:t>
            </w:r>
            <w:r>
              <w:rPr>
                <w:rFonts w:ascii="Century Gothic" w:hAnsi="Century Gothic"/>
              </w:rPr>
              <w:t xml:space="preserve">, </w:t>
            </w:r>
            <w:r w:rsidRPr="00CC5A7E">
              <w:rPr>
                <w:rFonts w:ascii="Century Gothic" w:hAnsi="Century Gothic"/>
              </w:rPr>
              <w:t>Vida saludable</w:t>
            </w:r>
            <w:r>
              <w:rPr>
                <w:rFonts w:ascii="Century Gothic" w:hAnsi="Century Gothic"/>
              </w:rPr>
              <w:t xml:space="preserve">, </w:t>
            </w:r>
            <w:r w:rsidRPr="00CC5A7E">
              <w:rPr>
                <w:rFonts w:ascii="Century Gothic" w:hAnsi="Century Gothic"/>
              </w:rPr>
              <w:t>Artes y experiencias estéticas</w:t>
            </w:r>
          </w:p>
        </w:tc>
        <w:tc>
          <w:tcPr>
            <w:tcW w:w="1723" w:type="dxa"/>
            <w:vAlign w:val="center"/>
          </w:tcPr>
          <w:p w14:paraId="364BD2E5" w14:textId="77777777" w:rsidR="00CC5A7E" w:rsidRPr="008863F1" w:rsidRDefault="00CC5A7E" w:rsidP="00CC5A7E">
            <w:pPr>
              <w:jc w:val="center"/>
              <w:rPr>
                <w:rFonts w:ascii="Century Gothic" w:hAnsi="Century Gothic" w:cs="Tahoma"/>
                <w:sz w:val="24"/>
                <w:szCs w:val="24"/>
              </w:rPr>
            </w:pPr>
            <w:r w:rsidRPr="008863F1">
              <w:rPr>
                <w:rFonts w:ascii="Century Gothic" w:hAnsi="Century Gothic" w:cs="Tahoma"/>
                <w:sz w:val="24"/>
                <w:szCs w:val="24"/>
              </w:rPr>
              <w:t>Comunitario.</w:t>
            </w:r>
          </w:p>
          <w:p w14:paraId="133CBBF1" w14:textId="15E66CF2" w:rsidR="00CC5A7E" w:rsidRPr="00AD1658" w:rsidRDefault="00CC5A7E" w:rsidP="00CC5A7E">
            <w:pPr>
              <w:jc w:val="center"/>
              <w:rPr>
                <w:rFonts w:ascii="Century Gothic" w:hAnsi="Century Gothic"/>
              </w:rPr>
            </w:pPr>
            <w:r w:rsidRPr="008863F1">
              <w:rPr>
                <w:rFonts w:ascii="Century Gothic" w:hAnsi="Century Gothic" w:cs="Tahoma"/>
                <w:sz w:val="24"/>
                <w:szCs w:val="24"/>
              </w:rPr>
              <w:t>Páginas 102 a la 113</w:t>
            </w:r>
          </w:p>
        </w:tc>
        <w:tc>
          <w:tcPr>
            <w:tcW w:w="1867" w:type="dxa"/>
            <w:vAlign w:val="center"/>
          </w:tcPr>
          <w:p w14:paraId="1C02C1AD" w14:textId="3F9145DE" w:rsidR="00CC5A7E" w:rsidRPr="00AD1658" w:rsidRDefault="00CC5A7E" w:rsidP="00CC5A7E">
            <w:pPr>
              <w:jc w:val="center"/>
              <w:rPr>
                <w:rFonts w:ascii="Century Gothic" w:hAnsi="Century Gothic"/>
              </w:rPr>
            </w:pPr>
            <w:r w:rsidRPr="008863F1">
              <w:rPr>
                <w:rFonts w:ascii="Century Gothic" w:hAnsi="Century Gothic" w:cs="Tahoma"/>
                <w:sz w:val="24"/>
                <w:szCs w:val="24"/>
              </w:rPr>
              <w:t>¡Ganar, ganar!</w:t>
            </w:r>
          </w:p>
        </w:tc>
        <w:tc>
          <w:tcPr>
            <w:tcW w:w="4756" w:type="dxa"/>
            <w:vAlign w:val="center"/>
          </w:tcPr>
          <w:p w14:paraId="30CCDB5F" w14:textId="22E32443" w:rsidR="00CC5A7E" w:rsidRPr="00AD1658" w:rsidRDefault="00CC5A7E" w:rsidP="00CC5A7E">
            <w:pPr>
              <w:jc w:val="both"/>
              <w:rPr>
                <w:rFonts w:ascii="Century Gothic" w:hAnsi="Century Gothic"/>
              </w:rPr>
            </w:pPr>
            <w:r w:rsidRPr="008863F1">
              <w:rPr>
                <w:rFonts w:ascii="Century Gothic" w:hAnsi="Century Gothic" w:cs="Tahoma"/>
                <w:sz w:val="24"/>
                <w:szCs w:val="24"/>
              </w:rPr>
              <w:t>Hacer un recorrido con integrantes de su comunidad. Juntos, visitar distintos comercios para elaborar un control de gastos que les permita reconocer los beneficios de consumir alimentos frescos en comparación con los alimentos procesados y tomar decisiones que les permitan cuidar el gasto familiar.</w:t>
            </w:r>
          </w:p>
        </w:tc>
      </w:tr>
      <w:tr w:rsidR="00CC5A7E" w:rsidRPr="00AD1658" w14:paraId="11363062" w14:textId="77777777" w:rsidTr="00CC5A7E">
        <w:tc>
          <w:tcPr>
            <w:tcW w:w="2689" w:type="dxa"/>
            <w:vAlign w:val="center"/>
          </w:tcPr>
          <w:p w14:paraId="6A945832" w14:textId="7120454F" w:rsidR="00CC5A7E" w:rsidRPr="00AD1658" w:rsidRDefault="00CC5A7E" w:rsidP="00CC5A7E">
            <w:pPr>
              <w:jc w:val="center"/>
              <w:rPr>
                <w:rFonts w:ascii="Century Gothic" w:hAnsi="Century Gothic"/>
              </w:rPr>
            </w:pPr>
            <w:r w:rsidRPr="00CC5A7E">
              <w:rPr>
                <w:rFonts w:ascii="Century Gothic" w:hAnsi="Century Gothic"/>
              </w:rPr>
              <w:t>Lenguajes</w:t>
            </w:r>
          </w:p>
        </w:tc>
        <w:tc>
          <w:tcPr>
            <w:tcW w:w="3355" w:type="dxa"/>
            <w:vAlign w:val="center"/>
          </w:tcPr>
          <w:p w14:paraId="58086788" w14:textId="518EA1DD" w:rsidR="00CC5A7E" w:rsidRPr="00AD1658" w:rsidRDefault="00CC5A7E" w:rsidP="00CC5A7E">
            <w:pPr>
              <w:jc w:val="center"/>
              <w:rPr>
                <w:rFonts w:ascii="Century Gothic" w:hAnsi="Century Gothic"/>
              </w:rPr>
            </w:pPr>
            <w:r w:rsidRPr="00CC5A7E">
              <w:rPr>
                <w:rFonts w:ascii="Century Gothic" w:hAnsi="Century Gothic"/>
              </w:rPr>
              <w:t>Inclusión</w:t>
            </w:r>
            <w:r>
              <w:rPr>
                <w:rFonts w:ascii="Century Gothic" w:hAnsi="Century Gothic"/>
              </w:rPr>
              <w:t xml:space="preserve">, </w:t>
            </w:r>
            <w:r w:rsidRPr="00CC5A7E">
              <w:rPr>
                <w:rFonts w:ascii="Century Gothic" w:hAnsi="Century Gothic"/>
              </w:rPr>
              <w:t>Pensamiento crítico</w:t>
            </w:r>
            <w:r>
              <w:rPr>
                <w:rFonts w:ascii="Century Gothic" w:hAnsi="Century Gothic"/>
              </w:rPr>
              <w:t xml:space="preserve">, </w:t>
            </w:r>
            <w:r w:rsidRPr="00CC5A7E">
              <w:rPr>
                <w:rFonts w:ascii="Century Gothic" w:hAnsi="Century Gothic"/>
              </w:rPr>
              <w:t>Interculturalidad crítica</w:t>
            </w:r>
            <w:r>
              <w:rPr>
                <w:rFonts w:ascii="Century Gothic" w:hAnsi="Century Gothic"/>
              </w:rPr>
              <w:t xml:space="preserve">, </w:t>
            </w:r>
            <w:r w:rsidRPr="00CC5A7E">
              <w:rPr>
                <w:rFonts w:ascii="Century Gothic" w:hAnsi="Century Gothic"/>
              </w:rPr>
              <w:t>Igualdad de género</w:t>
            </w:r>
            <w:r>
              <w:rPr>
                <w:rFonts w:ascii="Century Gothic" w:hAnsi="Century Gothic"/>
              </w:rPr>
              <w:t xml:space="preserve">, </w:t>
            </w:r>
            <w:r w:rsidRPr="00CC5A7E">
              <w:rPr>
                <w:rFonts w:ascii="Century Gothic" w:hAnsi="Century Gothic"/>
              </w:rPr>
              <w:t>Vida saludable</w:t>
            </w:r>
            <w:r>
              <w:rPr>
                <w:rFonts w:ascii="Century Gothic" w:hAnsi="Century Gothic"/>
              </w:rPr>
              <w:t xml:space="preserve">, </w:t>
            </w:r>
            <w:r w:rsidRPr="00CC5A7E">
              <w:rPr>
                <w:rFonts w:ascii="Century Gothic" w:hAnsi="Century Gothic"/>
              </w:rPr>
              <w:t>Apropiación de las culturas a través de la lectura y la escritura</w:t>
            </w:r>
            <w:r>
              <w:rPr>
                <w:rFonts w:ascii="Century Gothic" w:hAnsi="Century Gothic"/>
              </w:rPr>
              <w:t xml:space="preserve">, </w:t>
            </w:r>
            <w:r w:rsidRPr="00CC5A7E">
              <w:rPr>
                <w:rFonts w:ascii="Century Gothic" w:hAnsi="Century Gothic"/>
              </w:rPr>
              <w:t>Artes y experiencias estéticas</w:t>
            </w:r>
          </w:p>
        </w:tc>
        <w:tc>
          <w:tcPr>
            <w:tcW w:w="1723" w:type="dxa"/>
            <w:vAlign w:val="center"/>
          </w:tcPr>
          <w:p w14:paraId="18F100C3" w14:textId="77777777" w:rsidR="00CC5A7E" w:rsidRPr="00190D28" w:rsidRDefault="00CC5A7E" w:rsidP="00CC5A7E">
            <w:pPr>
              <w:jc w:val="center"/>
              <w:rPr>
                <w:rFonts w:ascii="Century Gothic" w:hAnsi="Century Gothic" w:cs="Tahoma"/>
                <w:sz w:val="24"/>
                <w:szCs w:val="24"/>
              </w:rPr>
            </w:pPr>
            <w:r w:rsidRPr="00190D28">
              <w:rPr>
                <w:rFonts w:ascii="Century Gothic" w:hAnsi="Century Gothic" w:cs="Tahoma"/>
                <w:sz w:val="24"/>
                <w:szCs w:val="24"/>
              </w:rPr>
              <w:t>Comunitario.</w:t>
            </w:r>
          </w:p>
          <w:p w14:paraId="55789F6D" w14:textId="70B6F6F4" w:rsidR="00CC5A7E" w:rsidRPr="00AD1658" w:rsidRDefault="00CC5A7E" w:rsidP="00CC5A7E">
            <w:pPr>
              <w:jc w:val="center"/>
              <w:rPr>
                <w:rFonts w:ascii="Century Gothic" w:hAnsi="Century Gothic"/>
              </w:rPr>
            </w:pPr>
            <w:r w:rsidRPr="00190D28">
              <w:rPr>
                <w:rFonts w:ascii="Century Gothic" w:hAnsi="Century Gothic" w:cs="Tahoma"/>
                <w:sz w:val="24"/>
                <w:szCs w:val="24"/>
              </w:rPr>
              <w:t>Páginas 72 a la 85</w:t>
            </w:r>
          </w:p>
        </w:tc>
        <w:tc>
          <w:tcPr>
            <w:tcW w:w="1867" w:type="dxa"/>
            <w:vAlign w:val="center"/>
          </w:tcPr>
          <w:p w14:paraId="0F88FC55" w14:textId="14BC8BAE" w:rsidR="00CC5A7E" w:rsidRPr="00AD1658" w:rsidRDefault="00CC5A7E" w:rsidP="00CC5A7E">
            <w:pPr>
              <w:jc w:val="center"/>
              <w:rPr>
                <w:rFonts w:ascii="Century Gothic" w:hAnsi="Century Gothic"/>
              </w:rPr>
            </w:pPr>
            <w:r w:rsidRPr="00190D28">
              <w:rPr>
                <w:rFonts w:ascii="Century Gothic" w:hAnsi="Century Gothic" w:cs="Tahoma"/>
                <w:sz w:val="24"/>
                <w:szCs w:val="24"/>
              </w:rPr>
              <w:t>Nosotras, nosotros y las cartas.</w:t>
            </w:r>
          </w:p>
        </w:tc>
        <w:tc>
          <w:tcPr>
            <w:tcW w:w="4756" w:type="dxa"/>
            <w:vAlign w:val="center"/>
          </w:tcPr>
          <w:p w14:paraId="1544F34B" w14:textId="7269A1F1" w:rsidR="00CC5A7E" w:rsidRPr="00AD1658" w:rsidRDefault="00CC5A7E" w:rsidP="00CC5A7E">
            <w:pPr>
              <w:jc w:val="both"/>
              <w:rPr>
                <w:rFonts w:ascii="Century Gothic" w:hAnsi="Century Gothic"/>
              </w:rPr>
            </w:pPr>
            <w:r w:rsidRPr="00190D28">
              <w:rPr>
                <w:rFonts w:ascii="Century Gothic" w:hAnsi="Century Gothic" w:cs="Tahoma"/>
                <w:sz w:val="24"/>
                <w:szCs w:val="24"/>
              </w:rPr>
              <w:t>Ampliar sus conocimientos sobre la forma de escribir e intercambiar cartas; además tendrán una oportunidad de comunicarse con estudiantes de otra localidad.</w:t>
            </w:r>
          </w:p>
        </w:tc>
      </w:tr>
      <w:tr w:rsidR="00CC5A7E" w:rsidRPr="00AD1658" w14:paraId="28903A2D" w14:textId="77777777" w:rsidTr="00CC5A7E">
        <w:tc>
          <w:tcPr>
            <w:tcW w:w="2689" w:type="dxa"/>
            <w:vAlign w:val="center"/>
          </w:tcPr>
          <w:p w14:paraId="66EAD28D" w14:textId="51E5941A" w:rsidR="00CC5A7E" w:rsidRPr="00AD1658" w:rsidRDefault="00CC5A7E" w:rsidP="00CC5A7E">
            <w:pPr>
              <w:jc w:val="center"/>
              <w:rPr>
                <w:rFonts w:ascii="Century Gothic" w:hAnsi="Century Gothic"/>
              </w:rPr>
            </w:pPr>
            <w:r w:rsidRPr="00CC5A7E">
              <w:rPr>
                <w:rFonts w:ascii="Century Gothic" w:hAnsi="Century Gothic"/>
              </w:rPr>
              <w:t>Lenguajes</w:t>
            </w:r>
          </w:p>
        </w:tc>
        <w:tc>
          <w:tcPr>
            <w:tcW w:w="3355" w:type="dxa"/>
            <w:vAlign w:val="center"/>
          </w:tcPr>
          <w:p w14:paraId="599C58D7" w14:textId="6606C231" w:rsidR="00CC5A7E" w:rsidRPr="00AD1658" w:rsidRDefault="00CC5A7E" w:rsidP="00CC5A7E">
            <w:pPr>
              <w:jc w:val="center"/>
              <w:rPr>
                <w:rFonts w:ascii="Century Gothic" w:hAnsi="Century Gothic"/>
              </w:rPr>
            </w:pPr>
            <w:r w:rsidRPr="00CC5A7E">
              <w:rPr>
                <w:rFonts w:ascii="Century Gothic" w:hAnsi="Century Gothic"/>
              </w:rPr>
              <w:t>Igualdad de género</w:t>
            </w:r>
            <w:r>
              <w:rPr>
                <w:rFonts w:ascii="Century Gothic" w:hAnsi="Century Gothic"/>
              </w:rPr>
              <w:t xml:space="preserve">, </w:t>
            </w:r>
            <w:r w:rsidRPr="00CC5A7E">
              <w:rPr>
                <w:rFonts w:ascii="Century Gothic" w:hAnsi="Century Gothic"/>
              </w:rPr>
              <w:t>Apropiación de las culturas a través de la lectura y la escritura</w:t>
            </w:r>
            <w:r>
              <w:rPr>
                <w:rFonts w:ascii="Century Gothic" w:hAnsi="Century Gothic"/>
              </w:rPr>
              <w:t xml:space="preserve">, </w:t>
            </w:r>
            <w:r w:rsidRPr="00CC5A7E">
              <w:rPr>
                <w:rFonts w:ascii="Century Gothic" w:hAnsi="Century Gothic"/>
              </w:rPr>
              <w:t>Artes y experiencias estéticas</w:t>
            </w:r>
          </w:p>
        </w:tc>
        <w:tc>
          <w:tcPr>
            <w:tcW w:w="1723" w:type="dxa"/>
            <w:vAlign w:val="center"/>
          </w:tcPr>
          <w:p w14:paraId="59769DF9" w14:textId="77777777" w:rsidR="00CC5A7E" w:rsidRPr="00190D28" w:rsidRDefault="00CC5A7E" w:rsidP="00CC5A7E">
            <w:pPr>
              <w:jc w:val="center"/>
              <w:rPr>
                <w:rFonts w:ascii="Century Gothic" w:hAnsi="Century Gothic" w:cs="Tahoma"/>
                <w:sz w:val="24"/>
                <w:szCs w:val="24"/>
              </w:rPr>
            </w:pPr>
            <w:r w:rsidRPr="00190D28">
              <w:rPr>
                <w:rFonts w:ascii="Century Gothic" w:hAnsi="Century Gothic" w:cs="Tahoma"/>
                <w:sz w:val="24"/>
                <w:szCs w:val="24"/>
              </w:rPr>
              <w:t>Escolar.</w:t>
            </w:r>
          </w:p>
          <w:p w14:paraId="5E092657" w14:textId="36974A60" w:rsidR="00CC5A7E" w:rsidRPr="00AD1658" w:rsidRDefault="00CC5A7E" w:rsidP="00CC5A7E">
            <w:pPr>
              <w:jc w:val="center"/>
              <w:rPr>
                <w:rFonts w:ascii="Century Gothic" w:hAnsi="Century Gothic"/>
              </w:rPr>
            </w:pPr>
            <w:r w:rsidRPr="00190D28">
              <w:rPr>
                <w:rFonts w:ascii="Century Gothic" w:hAnsi="Century Gothic" w:cs="Tahoma"/>
                <w:sz w:val="24"/>
                <w:szCs w:val="24"/>
              </w:rPr>
              <w:t>Páginas 88 a la 103</w:t>
            </w:r>
          </w:p>
        </w:tc>
        <w:tc>
          <w:tcPr>
            <w:tcW w:w="1867" w:type="dxa"/>
            <w:vAlign w:val="center"/>
          </w:tcPr>
          <w:p w14:paraId="2010C993" w14:textId="543168D7" w:rsidR="00CC5A7E" w:rsidRPr="00AD1658" w:rsidRDefault="00CC5A7E" w:rsidP="00CC5A7E">
            <w:pPr>
              <w:jc w:val="center"/>
              <w:rPr>
                <w:rFonts w:ascii="Century Gothic" w:hAnsi="Century Gothic"/>
              </w:rPr>
            </w:pPr>
            <w:r w:rsidRPr="00190D28">
              <w:rPr>
                <w:rFonts w:ascii="Century Gothic" w:hAnsi="Century Gothic" w:cs="Tahoma"/>
                <w:sz w:val="24"/>
                <w:szCs w:val="24"/>
              </w:rPr>
              <w:t>Las rimas, como el pan, con todo van.</w:t>
            </w:r>
          </w:p>
        </w:tc>
        <w:tc>
          <w:tcPr>
            <w:tcW w:w="4756" w:type="dxa"/>
            <w:vAlign w:val="center"/>
          </w:tcPr>
          <w:p w14:paraId="3F11CA71" w14:textId="41D655DF" w:rsidR="00CC5A7E" w:rsidRPr="00AD1658" w:rsidRDefault="00CC5A7E" w:rsidP="00CC5A7E">
            <w:pPr>
              <w:jc w:val="both"/>
              <w:rPr>
                <w:rFonts w:ascii="Century Gothic" w:hAnsi="Century Gothic"/>
              </w:rPr>
            </w:pPr>
            <w:r w:rsidRPr="00190D28">
              <w:rPr>
                <w:rFonts w:ascii="Century Gothic" w:hAnsi="Century Gothic" w:cs="Tahoma"/>
                <w:sz w:val="24"/>
                <w:szCs w:val="24"/>
              </w:rPr>
              <w:t>Crear canciones y, a través de ellas, dar a conocer sus vivencias, sentimientos y temas de interés al resto de la comunidad escolar. Para hacerlo, primero identificar el uso y las características de las rimas en la creación de canciones, poemas y juegos de palabras. Luego, dar rienda suelta a su imaginación para crear su propia canción.</w:t>
            </w:r>
          </w:p>
        </w:tc>
      </w:tr>
    </w:tbl>
    <w:p w14:paraId="099E919D" w14:textId="77777777" w:rsidR="002F59BC" w:rsidRDefault="002F59BC"/>
    <w:sectPr w:rsidR="002F59BC" w:rsidSect="00B51E4C">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1BC5A" w14:textId="77777777" w:rsidR="00F70871" w:rsidRDefault="00F70871" w:rsidP="0040208D">
      <w:pPr>
        <w:spacing w:after="0" w:line="240" w:lineRule="auto"/>
      </w:pPr>
      <w:r>
        <w:separator/>
      </w:r>
    </w:p>
  </w:endnote>
  <w:endnote w:type="continuationSeparator" w:id="0">
    <w:p w14:paraId="0638E8AC" w14:textId="77777777" w:rsidR="00F70871" w:rsidRDefault="00F70871" w:rsidP="0040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8C1CC" w14:textId="77777777" w:rsidR="00F70871" w:rsidRDefault="00F70871" w:rsidP="0040208D">
      <w:pPr>
        <w:spacing w:after="0" w:line="240" w:lineRule="auto"/>
      </w:pPr>
      <w:r>
        <w:separator/>
      </w:r>
    </w:p>
  </w:footnote>
  <w:footnote w:type="continuationSeparator" w:id="0">
    <w:p w14:paraId="1F8567E3" w14:textId="77777777" w:rsidR="00F70871" w:rsidRDefault="00F70871" w:rsidP="00402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45CB6" w14:textId="4A60B943" w:rsidR="0040208D" w:rsidRPr="0040208D" w:rsidRDefault="0040208D" w:rsidP="0040208D">
    <w:pPr>
      <w:pStyle w:val="Encabezado"/>
      <w:jc w:val="right"/>
      <w:rPr>
        <w:rFonts w:ascii="Century Gothic" w:hAnsi="Century Gothic"/>
      </w:rPr>
    </w:pPr>
    <w:r>
      <w:rPr>
        <w:noProof/>
      </w:rPr>
      <w:drawing>
        <wp:anchor distT="0" distB="0" distL="114300" distR="114300" simplePos="0" relativeHeight="251658240" behindDoc="1" locked="0" layoutInCell="1" allowOverlap="1" wp14:anchorId="0A4DC4C1" wp14:editId="611CDCBD">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483656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2C4346"/>
    <w:rsid w:val="002F59BC"/>
    <w:rsid w:val="0040208D"/>
    <w:rsid w:val="004104AA"/>
    <w:rsid w:val="00711889"/>
    <w:rsid w:val="0072408D"/>
    <w:rsid w:val="007313AC"/>
    <w:rsid w:val="009A14DE"/>
    <w:rsid w:val="009A5BC5"/>
    <w:rsid w:val="00AD1658"/>
    <w:rsid w:val="00B474F4"/>
    <w:rsid w:val="00B51E4C"/>
    <w:rsid w:val="00CC5A7E"/>
    <w:rsid w:val="00E217F1"/>
    <w:rsid w:val="00F708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02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08D"/>
  </w:style>
  <w:style w:type="paragraph" w:styleId="Piedepgina">
    <w:name w:val="footer"/>
    <w:basedOn w:val="Normal"/>
    <w:link w:val="PiedepginaCar"/>
    <w:uiPriority w:val="99"/>
    <w:unhideWhenUsed/>
    <w:rsid w:val="00402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02824">
      <w:bodyDiv w:val="1"/>
      <w:marLeft w:val="0"/>
      <w:marRight w:val="0"/>
      <w:marTop w:val="0"/>
      <w:marBottom w:val="0"/>
      <w:divBdr>
        <w:top w:val="none" w:sz="0" w:space="0" w:color="auto"/>
        <w:left w:val="none" w:sz="0" w:space="0" w:color="auto"/>
        <w:bottom w:val="none" w:sz="0" w:space="0" w:color="auto"/>
        <w:right w:val="none" w:sz="0" w:space="0" w:color="auto"/>
      </w:divBdr>
    </w:div>
    <w:div w:id="1879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236</Words>
  <Characters>1299</Characters>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dcterms:created xsi:type="dcterms:W3CDTF">2023-08-21T19:57:00Z</dcterms:created>
  <dcterms:modified xsi:type="dcterms:W3CDTF">2025-02-18T00:39:00Z</dcterms:modified>
  <cp:category>www.DidacticosMX.com</cp:category>
</cp:coreProperties>
</file>