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7D01219E" w:rsidR="00AD1658" w:rsidRPr="00ED0271" w:rsidRDefault="000458B3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ED0271">
        <w:rPr>
          <w:rFonts w:ascii="Century Gothic" w:hAnsi="Century Gothic"/>
          <w:b/>
          <w:bCs/>
          <w:sz w:val="32"/>
          <w:szCs w:val="32"/>
        </w:rPr>
        <w:t>2do Grado</w:t>
      </w:r>
    </w:p>
    <w:p w14:paraId="5F7DE1AD" w14:textId="15025FDB" w:rsidR="00E57218" w:rsidRPr="00ED0271" w:rsidRDefault="00E57218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ED0271"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3038"/>
        <w:gridCol w:w="2995"/>
        <w:gridCol w:w="1723"/>
        <w:gridCol w:w="2883"/>
        <w:gridCol w:w="3751"/>
      </w:tblGrid>
      <w:tr w:rsidR="00AD1658" w:rsidRPr="00ED0271" w14:paraId="51312299" w14:textId="77777777" w:rsidTr="002C5BA5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04C2CF56" w:rsidR="00AD1658" w:rsidRPr="00ED0271" w:rsidRDefault="00E5721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ED0271"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ED0271" w14:paraId="0ED89697" w14:textId="77777777" w:rsidTr="00ED0271">
        <w:tc>
          <w:tcPr>
            <w:tcW w:w="3081" w:type="dxa"/>
            <w:shd w:val="clear" w:color="auto" w:fill="FFE7FF"/>
            <w:vAlign w:val="center"/>
          </w:tcPr>
          <w:p w14:paraId="2010CF81" w14:textId="0E05CB10" w:rsidR="00AD1658" w:rsidRPr="00ED0271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ED0271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27" w:type="dxa"/>
            <w:shd w:val="clear" w:color="auto" w:fill="FFE7FF"/>
            <w:vAlign w:val="center"/>
          </w:tcPr>
          <w:p w14:paraId="3FF55929" w14:textId="2775533F" w:rsidR="00AD1658" w:rsidRPr="00ED0271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ED0271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566" w:type="dxa"/>
            <w:shd w:val="clear" w:color="auto" w:fill="FFE7FF"/>
            <w:vAlign w:val="center"/>
          </w:tcPr>
          <w:p w14:paraId="426A56CE" w14:textId="6F50816E" w:rsidR="00AD1658" w:rsidRPr="00ED0271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ED0271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13" w:type="dxa"/>
            <w:shd w:val="clear" w:color="auto" w:fill="FFE7FF"/>
            <w:vAlign w:val="center"/>
          </w:tcPr>
          <w:p w14:paraId="0490FFAC" w14:textId="4AF7C1E6" w:rsidR="00AD1658" w:rsidRPr="00ED0271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ED0271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03" w:type="dxa"/>
            <w:shd w:val="clear" w:color="auto" w:fill="FFE7FF"/>
            <w:vAlign w:val="center"/>
          </w:tcPr>
          <w:p w14:paraId="49AD0D00" w14:textId="0DD44579" w:rsidR="00AD1658" w:rsidRPr="00ED0271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ED0271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ED0271" w:rsidRPr="00ED0271" w14:paraId="3E0896F7" w14:textId="77777777" w:rsidTr="00ED0271">
        <w:tc>
          <w:tcPr>
            <w:tcW w:w="3081" w:type="dxa"/>
            <w:vAlign w:val="center"/>
          </w:tcPr>
          <w:p w14:paraId="2615CD50" w14:textId="364BCE07" w:rsidR="00ED0271" w:rsidRPr="00ED0271" w:rsidRDefault="00ED0271" w:rsidP="00ED0271">
            <w:pPr>
              <w:rPr>
                <w:rFonts w:ascii="Century Gothic" w:hAnsi="Century Gothic"/>
              </w:rPr>
            </w:pPr>
            <w:r w:rsidRPr="00ED0271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27" w:type="dxa"/>
            <w:vAlign w:val="center"/>
          </w:tcPr>
          <w:p w14:paraId="547C8899" w14:textId="77777777" w:rsidR="00ED0271" w:rsidRPr="00ED0271" w:rsidRDefault="00ED0271" w:rsidP="00ED0271">
            <w:pPr>
              <w:rPr>
                <w:rFonts w:ascii="Century Gothic" w:hAnsi="Century Gothic"/>
              </w:rPr>
            </w:pPr>
            <w:r w:rsidRPr="00ED0271">
              <w:rPr>
                <w:rFonts w:ascii="Century Gothic" w:hAnsi="Century Gothic"/>
              </w:rPr>
              <w:t>Inclusión</w:t>
            </w:r>
          </w:p>
          <w:p w14:paraId="2D724138" w14:textId="5543CE9E" w:rsidR="00ED0271" w:rsidRPr="00ED0271" w:rsidRDefault="00ED0271" w:rsidP="00ED0271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2C87C4BC" w14:textId="77777777" w:rsidR="00ED0271" w:rsidRPr="00ED0271" w:rsidRDefault="00ED0271" w:rsidP="00ED0271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ED0271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133CBBF1" w14:textId="6F932CCC" w:rsidR="00ED0271" w:rsidRPr="00ED0271" w:rsidRDefault="00ED0271" w:rsidP="00ED0271">
            <w:pPr>
              <w:rPr>
                <w:rFonts w:ascii="Century Gothic" w:hAnsi="Century Gothic"/>
              </w:rPr>
            </w:pPr>
            <w:r w:rsidRPr="00ED0271">
              <w:rPr>
                <w:rFonts w:ascii="Century Gothic" w:hAnsi="Century Gothic" w:cs="Tahoma"/>
                <w:sz w:val="24"/>
                <w:szCs w:val="24"/>
              </w:rPr>
              <w:t>Páginas 218 a la 231</w:t>
            </w:r>
          </w:p>
        </w:tc>
        <w:tc>
          <w:tcPr>
            <w:tcW w:w="2913" w:type="dxa"/>
            <w:vAlign w:val="center"/>
          </w:tcPr>
          <w:p w14:paraId="1C02C1AD" w14:textId="638A689D" w:rsidR="00ED0271" w:rsidRPr="00ED0271" w:rsidRDefault="00ED0271" w:rsidP="00ED0271">
            <w:pPr>
              <w:rPr>
                <w:rFonts w:ascii="Century Gothic" w:hAnsi="Century Gothic"/>
              </w:rPr>
            </w:pPr>
            <w:r w:rsidRPr="00ED0271">
              <w:rPr>
                <w:rFonts w:ascii="Century Gothic" w:hAnsi="Century Gothic" w:cs="Tahoma"/>
                <w:kern w:val="0"/>
                <w:sz w:val="24"/>
                <w:szCs w:val="24"/>
              </w:rPr>
              <w:t>Nos reconocemos como parte de una comunidad.</w:t>
            </w:r>
          </w:p>
        </w:tc>
        <w:tc>
          <w:tcPr>
            <w:tcW w:w="3803" w:type="dxa"/>
            <w:vAlign w:val="center"/>
          </w:tcPr>
          <w:p w14:paraId="30CCDB5F" w14:textId="048068D2" w:rsidR="00ED0271" w:rsidRPr="00ED0271" w:rsidRDefault="00ED0271" w:rsidP="00ED0271">
            <w:pPr>
              <w:rPr>
                <w:rFonts w:ascii="Century Gothic" w:hAnsi="Century Gothic"/>
              </w:rPr>
            </w:pPr>
            <w:r w:rsidRPr="00ED0271">
              <w:rPr>
                <w:rFonts w:ascii="Century Gothic" w:hAnsi="Century Gothic" w:cs="Tahoma"/>
                <w:sz w:val="24"/>
                <w:szCs w:val="24"/>
              </w:rPr>
              <w:t>Valorar las capacidades, habilidades y destrezas de personas que realizan actividades comunitarias como parte de alguna manifestación cultural. Para ello, participarán en un encuentro de difusión de estas actividades.</w:t>
            </w:r>
          </w:p>
        </w:tc>
      </w:tr>
      <w:tr w:rsidR="00ED0271" w:rsidRPr="00ED0271" w14:paraId="11363062" w14:textId="77777777" w:rsidTr="00ED0271">
        <w:tc>
          <w:tcPr>
            <w:tcW w:w="3081" w:type="dxa"/>
            <w:vAlign w:val="center"/>
          </w:tcPr>
          <w:p w14:paraId="6A945832" w14:textId="12707D72" w:rsidR="00ED0271" w:rsidRPr="00ED0271" w:rsidRDefault="00ED0271" w:rsidP="00ED0271">
            <w:pPr>
              <w:rPr>
                <w:rFonts w:ascii="Century Gothic" w:hAnsi="Century Gothic"/>
              </w:rPr>
            </w:pPr>
            <w:r w:rsidRPr="00ED0271">
              <w:rPr>
                <w:rFonts w:ascii="Century Gothic" w:hAnsi="Century Gothic"/>
              </w:rPr>
              <w:t>Lenguajes</w:t>
            </w:r>
          </w:p>
        </w:tc>
        <w:tc>
          <w:tcPr>
            <w:tcW w:w="3027" w:type="dxa"/>
            <w:vAlign w:val="center"/>
          </w:tcPr>
          <w:p w14:paraId="307C21C4" w14:textId="77777777" w:rsidR="00ED0271" w:rsidRPr="00ED0271" w:rsidRDefault="00ED0271" w:rsidP="00ED0271">
            <w:pPr>
              <w:rPr>
                <w:rFonts w:ascii="Century Gothic" w:hAnsi="Century Gothic"/>
              </w:rPr>
            </w:pPr>
            <w:r w:rsidRPr="00ED0271">
              <w:rPr>
                <w:rFonts w:ascii="Century Gothic" w:hAnsi="Century Gothic"/>
              </w:rPr>
              <w:t>Pensamiento crítico</w:t>
            </w:r>
          </w:p>
          <w:p w14:paraId="068ECA2A" w14:textId="77777777" w:rsidR="00ED0271" w:rsidRPr="00ED0271" w:rsidRDefault="00ED0271" w:rsidP="00ED0271">
            <w:pPr>
              <w:rPr>
                <w:rFonts w:ascii="Century Gothic" w:hAnsi="Century Gothic"/>
              </w:rPr>
            </w:pPr>
            <w:r w:rsidRPr="00ED0271">
              <w:rPr>
                <w:rFonts w:ascii="Century Gothic" w:hAnsi="Century Gothic"/>
              </w:rPr>
              <w:t>Igualdad de género</w:t>
            </w:r>
          </w:p>
          <w:p w14:paraId="7334A213" w14:textId="77777777" w:rsidR="00ED0271" w:rsidRPr="00ED0271" w:rsidRDefault="00ED0271" w:rsidP="00ED0271">
            <w:pPr>
              <w:rPr>
                <w:rFonts w:ascii="Century Gothic" w:hAnsi="Century Gothic"/>
              </w:rPr>
            </w:pPr>
            <w:r w:rsidRPr="00ED0271">
              <w:rPr>
                <w:rFonts w:ascii="Century Gothic" w:hAnsi="Century Gothic"/>
              </w:rPr>
              <w:t>Vida saludable</w:t>
            </w:r>
          </w:p>
          <w:p w14:paraId="2278B8A4" w14:textId="77777777" w:rsidR="00ED0271" w:rsidRPr="00ED0271" w:rsidRDefault="00ED0271" w:rsidP="00ED0271">
            <w:pPr>
              <w:rPr>
                <w:rFonts w:ascii="Century Gothic" w:hAnsi="Century Gothic"/>
              </w:rPr>
            </w:pPr>
            <w:r w:rsidRPr="00ED0271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58086788" w14:textId="34FA4B3E" w:rsidR="00ED0271" w:rsidRPr="00ED0271" w:rsidRDefault="00ED0271" w:rsidP="00ED0271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4D41F244" w14:textId="77777777" w:rsidR="00ED0271" w:rsidRPr="00ED0271" w:rsidRDefault="00ED0271" w:rsidP="00ED0271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ED0271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5789F6D" w14:textId="75F7FA75" w:rsidR="00ED0271" w:rsidRPr="00ED0271" w:rsidRDefault="00ED0271" w:rsidP="00ED0271">
            <w:pPr>
              <w:rPr>
                <w:rFonts w:ascii="Century Gothic" w:hAnsi="Century Gothic"/>
              </w:rPr>
            </w:pPr>
            <w:r w:rsidRPr="00ED0271">
              <w:rPr>
                <w:rFonts w:ascii="Century Gothic" w:hAnsi="Century Gothic" w:cs="Tahoma"/>
                <w:sz w:val="24"/>
                <w:szCs w:val="24"/>
              </w:rPr>
              <w:t>Páginas 10 a la 21</w:t>
            </w:r>
          </w:p>
        </w:tc>
        <w:tc>
          <w:tcPr>
            <w:tcW w:w="2913" w:type="dxa"/>
            <w:vAlign w:val="center"/>
          </w:tcPr>
          <w:p w14:paraId="0F88FC55" w14:textId="30EE8D81" w:rsidR="00ED0271" w:rsidRPr="00ED0271" w:rsidRDefault="00ED0271" w:rsidP="00ED0271">
            <w:pPr>
              <w:rPr>
                <w:rFonts w:ascii="Century Gothic" w:hAnsi="Century Gothic"/>
              </w:rPr>
            </w:pPr>
            <w:r w:rsidRPr="00ED0271">
              <w:rPr>
                <w:rFonts w:ascii="Century Gothic" w:hAnsi="Century Gothic" w:cs="Tahoma"/>
                <w:kern w:val="0"/>
                <w:sz w:val="24"/>
                <w:szCs w:val="24"/>
              </w:rPr>
              <w:t>Nos divertimos con juegos tradicionales.</w:t>
            </w:r>
          </w:p>
        </w:tc>
        <w:tc>
          <w:tcPr>
            <w:tcW w:w="3803" w:type="dxa"/>
            <w:vAlign w:val="center"/>
          </w:tcPr>
          <w:p w14:paraId="1544F34B" w14:textId="377DDA73" w:rsidR="00ED0271" w:rsidRPr="00ED0271" w:rsidRDefault="00ED0271" w:rsidP="00ED0271">
            <w:pPr>
              <w:rPr>
                <w:rFonts w:ascii="Century Gothic" w:hAnsi="Century Gothic"/>
              </w:rPr>
            </w:pPr>
            <w:r w:rsidRPr="00ED0271">
              <w:rPr>
                <w:rFonts w:ascii="Century Gothic" w:hAnsi="Century Gothic" w:cs="Tahoma"/>
                <w:sz w:val="24"/>
                <w:szCs w:val="24"/>
              </w:rPr>
              <w:t>Identificar que los juegos tradicionales, además de ser divertidos, nos enseñan saberes y conocimientos de nuestras comunidades. Para ello, elaborarán un Instructivo de juegos tradicionales.</w:t>
            </w:r>
          </w:p>
        </w:tc>
      </w:tr>
      <w:tr w:rsidR="00ED0271" w:rsidRPr="00ED0271" w14:paraId="28903A2D" w14:textId="77777777" w:rsidTr="00ED0271">
        <w:tc>
          <w:tcPr>
            <w:tcW w:w="3081" w:type="dxa"/>
            <w:vAlign w:val="center"/>
          </w:tcPr>
          <w:p w14:paraId="66EAD28D" w14:textId="03C04828" w:rsidR="00ED0271" w:rsidRPr="00ED0271" w:rsidRDefault="00ED0271" w:rsidP="00ED0271">
            <w:pPr>
              <w:rPr>
                <w:rFonts w:ascii="Century Gothic" w:hAnsi="Century Gothic"/>
              </w:rPr>
            </w:pPr>
            <w:r w:rsidRPr="00ED0271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27" w:type="dxa"/>
            <w:vAlign w:val="center"/>
          </w:tcPr>
          <w:p w14:paraId="0ED09346" w14:textId="77777777" w:rsidR="00ED0271" w:rsidRPr="00ED0271" w:rsidRDefault="00ED0271" w:rsidP="00ED0271">
            <w:pPr>
              <w:rPr>
                <w:rFonts w:ascii="Century Gothic" w:hAnsi="Century Gothic"/>
              </w:rPr>
            </w:pPr>
            <w:r w:rsidRPr="00ED0271">
              <w:rPr>
                <w:rFonts w:ascii="Century Gothic" w:hAnsi="Century Gothic"/>
              </w:rPr>
              <w:t>Inclusión</w:t>
            </w:r>
          </w:p>
          <w:p w14:paraId="207598D1" w14:textId="77777777" w:rsidR="00ED0271" w:rsidRPr="00ED0271" w:rsidRDefault="00ED0271" w:rsidP="00ED0271">
            <w:pPr>
              <w:rPr>
                <w:rFonts w:ascii="Century Gothic" w:hAnsi="Century Gothic"/>
              </w:rPr>
            </w:pPr>
            <w:r w:rsidRPr="00ED0271">
              <w:rPr>
                <w:rFonts w:ascii="Century Gothic" w:hAnsi="Century Gothic"/>
              </w:rPr>
              <w:t>Pensamiento crítico</w:t>
            </w:r>
          </w:p>
          <w:p w14:paraId="6B267074" w14:textId="77777777" w:rsidR="00ED0271" w:rsidRPr="00ED0271" w:rsidRDefault="00ED0271" w:rsidP="00ED0271">
            <w:pPr>
              <w:rPr>
                <w:rFonts w:ascii="Century Gothic" w:hAnsi="Century Gothic"/>
              </w:rPr>
            </w:pPr>
            <w:r w:rsidRPr="00ED0271">
              <w:rPr>
                <w:rFonts w:ascii="Century Gothic" w:hAnsi="Century Gothic"/>
              </w:rPr>
              <w:t>Pensamiento crítico</w:t>
            </w:r>
          </w:p>
          <w:p w14:paraId="54AB4F2F" w14:textId="77777777" w:rsidR="00ED0271" w:rsidRPr="00ED0271" w:rsidRDefault="00ED0271" w:rsidP="00ED0271">
            <w:pPr>
              <w:rPr>
                <w:rFonts w:ascii="Century Gothic" w:hAnsi="Century Gothic"/>
              </w:rPr>
            </w:pPr>
            <w:r w:rsidRPr="00ED0271">
              <w:rPr>
                <w:rFonts w:ascii="Century Gothic" w:hAnsi="Century Gothic"/>
              </w:rPr>
              <w:t>Igualdad de género</w:t>
            </w:r>
          </w:p>
          <w:p w14:paraId="63001262" w14:textId="77777777" w:rsidR="00ED0271" w:rsidRPr="00ED0271" w:rsidRDefault="00ED0271" w:rsidP="00ED0271">
            <w:pPr>
              <w:rPr>
                <w:rFonts w:ascii="Century Gothic" w:hAnsi="Century Gothic"/>
              </w:rPr>
            </w:pPr>
            <w:r w:rsidRPr="00ED0271">
              <w:rPr>
                <w:rFonts w:ascii="Century Gothic" w:hAnsi="Century Gothic"/>
              </w:rPr>
              <w:t>Vida saludable</w:t>
            </w:r>
          </w:p>
          <w:p w14:paraId="599C58D7" w14:textId="4386A27A" w:rsidR="00ED0271" w:rsidRPr="00ED0271" w:rsidRDefault="00ED0271" w:rsidP="00ED0271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72323A34" w14:textId="77777777" w:rsidR="00ED0271" w:rsidRPr="00ED0271" w:rsidRDefault="00ED0271" w:rsidP="00ED0271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ED0271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E092657" w14:textId="0BEFC139" w:rsidR="00ED0271" w:rsidRPr="00ED0271" w:rsidRDefault="00ED0271" w:rsidP="00ED0271">
            <w:pPr>
              <w:rPr>
                <w:rFonts w:ascii="Century Gothic" w:hAnsi="Century Gothic"/>
              </w:rPr>
            </w:pPr>
            <w:r w:rsidRPr="00ED0271">
              <w:rPr>
                <w:rFonts w:ascii="Century Gothic" w:hAnsi="Century Gothic" w:cs="Tahoma"/>
                <w:sz w:val="24"/>
                <w:szCs w:val="24"/>
              </w:rPr>
              <w:t>Páginas 192 a la 199</w:t>
            </w:r>
          </w:p>
        </w:tc>
        <w:tc>
          <w:tcPr>
            <w:tcW w:w="2913" w:type="dxa"/>
            <w:vAlign w:val="center"/>
          </w:tcPr>
          <w:p w14:paraId="2010C993" w14:textId="7071A87E" w:rsidR="00ED0271" w:rsidRPr="00ED0271" w:rsidRDefault="00ED0271" w:rsidP="00ED0271">
            <w:pPr>
              <w:rPr>
                <w:rFonts w:ascii="Century Gothic" w:hAnsi="Century Gothic"/>
              </w:rPr>
            </w:pPr>
            <w:r w:rsidRPr="00ED0271">
              <w:rPr>
                <w:rFonts w:ascii="Century Gothic" w:hAnsi="Century Gothic" w:cs="Tahoma"/>
                <w:kern w:val="0"/>
                <w:sz w:val="24"/>
                <w:szCs w:val="24"/>
              </w:rPr>
              <w:t>Jugar futbol sin conflictos.</w:t>
            </w:r>
          </w:p>
        </w:tc>
        <w:tc>
          <w:tcPr>
            <w:tcW w:w="3803" w:type="dxa"/>
            <w:vAlign w:val="center"/>
          </w:tcPr>
          <w:p w14:paraId="3F11CA71" w14:textId="79FCDD42" w:rsidR="00ED0271" w:rsidRPr="00ED0271" w:rsidRDefault="00ED0271" w:rsidP="00ED0271">
            <w:pPr>
              <w:rPr>
                <w:rFonts w:ascii="Century Gothic" w:hAnsi="Century Gothic"/>
              </w:rPr>
            </w:pPr>
            <w:r w:rsidRPr="00ED0271">
              <w:rPr>
                <w:rFonts w:ascii="Century Gothic" w:hAnsi="Century Gothic" w:cs="Tahoma"/>
                <w:sz w:val="24"/>
                <w:szCs w:val="24"/>
              </w:rPr>
              <w:t>Reconocer el papel y la importancia del árbitro en los partidos de futbol. También participarán en la organización de un Torneo de juego limpio que se llevará a cabo en su comunidad escolar.</w:t>
            </w:r>
          </w:p>
        </w:tc>
      </w:tr>
    </w:tbl>
    <w:p w14:paraId="099E919D" w14:textId="77777777" w:rsidR="002F59BC" w:rsidRPr="00ED0271" w:rsidRDefault="002F59BC">
      <w:pPr>
        <w:rPr>
          <w:rFonts w:ascii="Century Gothic" w:hAnsi="Century Gothic"/>
        </w:rPr>
      </w:pPr>
    </w:p>
    <w:sectPr w:rsidR="002F59BC" w:rsidRPr="00ED0271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C804A" w14:textId="77777777" w:rsidR="008A5A91" w:rsidRDefault="008A5A91" w:rsidP="000458B3">
      <w:pPr>
        <w:spacing w:after="0" w:line="240" w:lineRule="auto"/>
      </w:pPr>
      <w:r>
        <w:separator/>
      </w:r>
    </w:p>
  </w:endnote>
  <w:endnote w:type="continuationSeparator" w:id="0">
    <w:p w14:paraId="5BA45B1F" w14:textId="77777777" w:rsidR="008A5A91" w:rsidRDefault="008A5A91" w:rsidP="0004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EA96B" w14:textId="77777777" w:rsidR="008A5A91" w:rsidRDefault="008A5A91" w:rsidP="000458B3">
      <w:pPr>
        <w:spacing w:after="0" w:line="240" w:lineRule="auto"/>
      </w:pPr>
      <w:r>
        <w:separator/>
      </w:r>
    </w:p>
  </w:footnote>
  <w:footnote w:type="continuationSeparator" w:id="0">
    <w:p w14:paraId="03E9D864" w14:textId="77777777" w:rsidR="008A5A91" w:rsidRDefault="008A5A91" w:rsidP="0004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23EB8" w14:textId="4F8E52F7" w:rsidR="000458B3" w:rsidRPr="000458B3" w:rsidRDefault="000458B3" w:rsidP="000458B3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EA3C87B" wp14:editId="6C4F0068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458B3"/>
    <w:rsid w:val="00063275"/>
    <w:rsid w:val="002C5BA5"/>
    <w:rsid w:val="002F59BC"/>
    <w:rsid w:val="004104AA"/>
    <w:rsid w:val="008A5A91"/>
    <w:rsid w:val="009A5BC5"/>
    <w:rsid w:val="00AD1658"/>
    <w:rsid w:val="00B474F4"/>
    <w:rsid w:val="00B51E4C"/>
    <w:rsid w:val="00E57218"/>
    <w:rsid w:val="00ED0271"/>
    <w:rsid w:val="00F2436C"/>
    <w:rsid w:val="00FC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8B3"/>
  </w:style>
  <w:style w:type="paragraph" w:styleId="Piedepgina">
    <w:name w:val="footer"/>
    <w:basedOn w:val="Normal"/>
    <w:link w:val="Piedepgina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</Words>
  <Characters>1024</Characters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2025-02-02T00:48:00Z</dcterms:modified>
  <cp:category>www.DidacticosMX.com</cp:category>
</cp:coreProperties>
</file>