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7F9773B1" w:rsidR="00AD1658" w:rsidRPr="009536B9" w:rsidRDefault="002E3E2E" w:rsidP="002E3E2E">
      <w:pPr>
        <w:spacing w:after="0"/>
        <w:jc w:val="center"/>
        <w:rPr>
          <w:rFonts w:ascii="Century Gothic" w:hAnsi="Century Gothic"/>
          <w:b/>
          <w:bCs/>
          <w:sz w:val="32"/>
          <w:szCs w:val="32"/>
        </w:rPr>
      </w:pPr>
      <w:r w:rsidRPr="009536B9">
        <w:rPr>
          <w:rFonts w:ascii="Century Gothic" w:hAnsi="Century Gothic"/>
          <w:b/>
          <w:bCs/>
          <w:sz w:val="32"/>
          <w:szCs w:val="32"/>
        </w:rPr>
        <w:t>1er Grado</w:t>
      </w:r>
    </w:p>
    <w:p w14:paraId="1DAA267C" w14:textId="256F73B7" w:rsidR="00F36A7E" w:rsidRPr="009536B9" w:rsidRDefault="00F36A7E" w:rsidP="002E3E2E">
      <w:pPr>
        <w:spacing w:after="0"/>
        <w:jc w:val="center"/>
        <w:rPr>
          <w:rFonts w:ascii="Century Gothic" w:hAnsi="Century Gothic"/>
          <w:b/>
          <w:bCs/>
          <w:sz w:val="32"/>
          <w:szCs w:val="32"/>
        </w:rPr>
      </w:pPr>
      <w:r w:rsidRPr="009536B9">
        <w:rPr>
          <w:rFonts w:ascii="Century Gothic" w:hAnsi="Century Gothic"/>
          <w:b/>
          <w:bCs/>
          <w:sz w:val="32"/>
          <w:szCs w:val="32"/>
        </w:rPr>
        <w:t>FECHA</w:t>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3043"/>
        <w:gridCol w:w="3000"/>
        <w:gridCol w:w="1723"/>
        <w:gridCol w:w="2874"/>
        <w:gridCol w:w="3750"/>
      </w:tblGrid>
      <w:tr w:rsidR="00AD1658" w:rsidRPr="009536B9" w14:paraId="51312299" w14:textId="77777777" w:rsidTr="0077183D">
        <w:tc>
          <w:tcPr>
            <w:tcW w:w="14390" w:type="dxa"/>
            <w:gridSpan w:val="5"/>
            <w:shd w:val="clear" w:color="auto" w:fill="B3FFB3"/>
            <w:vAlign w:val="center"/>
          </w:tcPr>
          <w:p w14:paraId="7345A0A7" w14:textId="66C1CAF0" w:rsidR="00AD1658" w:rsidRPr="009536B9" w:rsidRDefault="00CB06F3" w:rsidP="00AD1658">
            <w:pPr>
              <w:jc w:val="center"/>
              <w:rPr>
                <w:rFonts w:ascii="Century Gothic" w:hAnsi="Century Gothic"/>
                <w:b/>
                <w:bCs/>
                <w:sz w:val="26"/>
                <w:szCs w:val="26"/>
              </w:rPr>
            </w:pPr>
            <w:r w:rsidRPr="009536B9">
              <w:rPr>
                <w:rFonts w:ascii="Century Gothic" w:hAnsi="Century Gothic"/>
                <w:b/>
                <w:bCs/>
                <w:sz w:val="26"/>
                <w:szCs w:val="26"/>
              </w:rPr>
              <w:t>DOSIFICACIÓN</w:t>
            </w:r>
          </w:p>
        </w:tc>
      </w:tr>
      <w:tr w:rsidR="00AD1658" w:rsidRPr="009536B9" w14:paraId="0ED89697" w14:textId="77777777" w:rsidTr="007D7480">
        <w:tc>
          <w:tcPr>
            <w:tcW w:w="3084" w:type="dxa"/>
            <w:shd w:val="clear" w:color="auto" w:fill="E1FFE1"/>
            <w:vAlign w:val="center"/>
          </w:tcPr>
          <w:p w14:paraId="2010CF81" w14:textId="0E05CB10" w:rsidR="00AD1658" w:rsidRPr="009536B9" w:rsidRDefault="00AD1658" w:rsidP="00AD1658">
            <w:pPr>
              <w:jc w:val="center"/>
              <w:rPr>
                <w:rFonts w:ascii="Century Gothic" w:hAnsi="Century Gothic"/>
                <w:b/>
                <w:bCs/>
                <w:sz w:val="26"/>
                <w:szCs w:val="26"/>
              </w:rPr>
            </w:pPr>
            <w:r w:rsidRPr="009536B9">
              <w:rPr>
                <w:rFonts w:ascii="Century Gothic" w:hAnsi="Century Gothic"/>
                <w:b/>
                <w:bCs/>
                <w:sz w:val="26"/>
                <w:szCs w:val="26"/>
              </w:rPr>
              <w:t>Campo Formativo</w:t>
            </w:r>
          </w:p>
        </w:tc>
        <w:tc>
          <w:tcPr>
            <w:tcW w:w="3028" w:type="dxa"/>
            <w:shd w:val="clear" w:color="auto" w:fill="E1FFE1"/>
            <w:vAlign w:val="center"/>
          </w:tcPr>
          <w:p w14:paraId="3FF55929" w14:textId="2775533F" w:rsidR="00AD1658" w:rsidRPr="009536B9" w:rsidRDefault="00AD1658" w:rsidP="00AD1658">
            <w:pPr>
              <w:jc w:val="center"/>
              <w:rPr>
                <w:rFonts w:ascii="Century Gothic" w:hAnsi="Century Gothic"/>
                <w:b/>
                <w:bCs/>
                <w:sz w:val="26"/>
                <w:szCs w:val="26"/>
              </w:rPr>
            </w:pPr>
            <w:r w:rsidRPr="009536B9">
              <w:rPr>
                <w:rFonts w:ascii="Century Gothic" w:hAnsi="Century Gothic"/>
                <w:b/>
                <w:bCs/>
                <w:sz w:val="26"/>
                <w:szCs w:val="26"/>
              </w:rPr>
              <w:t>Ejes articuladores</w:t>
            </w:r>
          </w:p>
        </w:tc>
        <w:tc>
          <w:tcPr>
            <w:tcW w:w="1566" w:type="dxa"/>
            <w:shd w:val="clear" w:color="auto" w:fill="E1FFE1"/>
            <w:vAlign w:val="center"/>
          </w:tcPr>
          <w:p w14:paraId="426A56CE" w14:textId="6F50816E" w:rsidR="00AD1658" w:rsidRPr="009536B9" w:rsidRDefault="00AD1658" w:rsidP="00AD1658">
            <w:pPr>
              <w:jc w:val="center"/>
              <w:rPr>
                <w:rFonts w:ascii="Century Gothic" w:hAnsi="Century Gothic"/>
                <w:b/>
                <w:bCs/>
                <w:sz w:val="26"/>
                <w:szCs w:val="26"/>
              </w:rPr>
            </w:pPr>
            <w:r w:rsidRPr="009536B9">
              <w:rPr>
                <w:rFonts w:ascii="Century Gothic" w:hAnsi="Century Gothic"/>
                <w:b/>
                <w:bCs/>
                <w:sz w:val="26"/>
                <w:szCs w:val="26"/>
              </w:rPr>
              <w:t>Escenario</w:t>
            </w:r>
          </w:p>
        </w:tc>
        <w:tc>
          <w:tcPr>
            <w:tcW w:w="2910" w:type="dxa"/>
            <w:shd w:val="clear" w:color="auto" w:fill="E1FFE1"/>
            <w:vAlign w:val="center"/>
          </w:tcPr>
          <w:p w14:paraId="0490FFAC" w14:textId="4AF7C1E6" w:rsidR="00AD1658" w:rsidRPr="009536B9" w:rsidRDefault="00AD1658" w:rsidP="00AD1658">
            <w:pPr>
              <w:jc w:val="center"/>
              <w:rPr>
                <w:rFonts w:ascii="Century Gothic" w:hAnsi="Century Gothic"/>
                <w:b/>
                <w:bCs/>
                <w:sz w:val="26"/>
                <w:szCs w:val="26"/>
              </w:rPr>
            </w:pPr>
            <w:r w:rsidRPr="009536B9">
              <w:rPr>
                <w:rFonts w:ascii="Century Gothic" w:hAnsi="Century Gothic"/>
                <w:b/>
                <w:bCs/>
                <w:sz w:val="26"/>
                <w:szCs w:val="26"/>
              </w:rPr>
              <w:t>Nombre del proyecto</w:t>
            </w:r>
          </w:p>
        </w:tc>
        <w:tc>
          <w:tcPr>
            <w:tcW w:w="3802" w:type="dxa"/>
            <w:shd w:val="clear" w:color="auto" w:fill="E1FFE1"/>
            <w:vAlign w:val="center"/>
          </w:tcPr>
          <w:p w14:paraId="49AD0D00" w14:textId="0DD44579" w:rsidR="00AD1658" w:rsidRPr="009536B9" w:rsidRDefault="00AD1658" w:rsidP="00AD1658">
            <w:pPr>
              <w:jc w:val="center"/>
              <w:rPr>
                <w:rFonts w:ascii="Century Gothic" w:hAnsi="Century Gothic"/>
                <w:b/>
                <w:bCs/>
                <w:sz w:val="26"/>
                <w:szCs w:val="26"/>
              </w:rPr>
            </w:pPr>
            <w:r w:rsidRPr="009536B9">
              <w:rPr>
                <w:rFonts w:ascii="Century Gothic" w:hAnsi="Century Gothic"/>
                <w:b/>
                <w:bCs/>
                <w:sz w:val="26"/>
                <w:szCs w:val="26"/>
              </w:rPr>
              <w:t>Propósito</w:t>
            </w:r>
          </w:p>
        </w:tc>
      </w:tr>
      <w:tr w:rsidR="007D7480" w:rsidRPr="009536B9" w14:paraId="3E0896F7" w14:textId="77777777" w:rsidTr="007D7480">
        <w:tc>
          <w:tcPr>
            <w:tcW w:w="3084" w:type="dxa"/>
            <w:vAlign w:val="center"/>
          </w:tcPr>
          <w:p w14:paraId="2615CD50" w14:textId="5E14DEE5" w:rsidR="007D7480" w:rsidRPr="009536B9" w:rsidRDefault="007D7480" w:rsidP="007D7480">
            <w:pPr>
              <w:rPr>
                <w:rFonts w:ascii="Century Gothic" w:hAnsi="Century Gothic"/>
              </w:rPr>
            </w:pPr>
            <w:r w:rsidRPr="009536B9">
              <w:rPr>
                <w:rFonts w:ascii="Century Gothic" w:hAnsi="Century Gothic"/>
              </w:rPr>
              <w:t>Ética, naturaleza y sociedades</w:t>
            </w:r>
          </w:p>
        </w:tc>
        <w:tc>
          <w:tcPr>
            <w:tcW w:w="3028" w:type="dxa"/>
            <w:vAlign w:val="center"/>
          </w:tcPr>
          <w:p w14:paraId="0CBEB7BF" w14:textId="77777777" w:rsidR="007D7480" w:rsidRPr="009536B9" w:rsidRDefault="007D7480" w:rsidP="007D7480">
            <w:pPr>
              <w:rPr>
                <w:rFonts w:ascii="Century Gothic" w:hAnsi="Century Gothic"/>
              </w:rPr>
            </w:pPr>
            <w:r w:rsidRPr="009536B9">
              <w:rPr>
                <w:rFonts w:ascii="Century Gothic" w:hAnsi="Century Gothic"/>
              </w:rPr>
              <w:t>Pensamiento crítico</w:t>
            </w:r>
          </w:p>
          <w:p w14:paraId="41368B64" w14:textId="77777777" w:rsidR="007D7480" w:rsidRPr="009536B9" w:rsidRDefault="007D7480" w:rsidP="007D7480">
            <w:pPr>
              <w:rPr>
                <w:rFonts w:ascii="Century Gothic" w:hAnsi="Century Gothic"/>
              </w:rPr>
            </w:pPr>
            <w:r w:rsidRPr="009536B9">
              <w:rPr>
                <w:rFonts w:ascii="Century Gothic" w:hAnsi="Century Gothic"/>
              </w:rPr>
              <w:t>Vida saludable</w:t>
            </w:r>
          </w:p>
          <w:p w14:paraId="2D724138" w14:textId="5543CE9E" w:rsidR="007D7480" w:rsidRPr="009536B9" w:rsidRDefault="007D7480" w:rsidP="007D7480">
            <w:pPr>
              <w:rPr>
                <w:rFonts w:ascii="Century Gothic" w:hAnsi="Century Gothic"/>
              </w:rPr>
            </w:pPr>
          </w:p>
        </w:tc>
        <w:tc>
          <w:tcPr>
            <w:tcW w:w="1566" w:type="dxa"/>
            <w:vAlign w:val="center"/>
          </w:tcPr>
          <w:p w14:paraId="44256066" w14:textId="77777777" w:rsidR="007D7480" w:rsidRPr="009536B9" w:rsidRDefault="007D7480" w:rsidP="007D7480">
            <w:pPr>
              <w:jc w:val="center"/>
              <w:rPr>
                <w:rFonts w:ascii="Century Gothic" w:hAnsi="Century Gothic" w:cs="Tahoma"/>
                <w:color w:val="000000" w:themeColor="text1"/>
                <w:sz w:val="24"/>
                <w:szCs w:val="24"/>
              </w:rPr>
            </w:pPr>
            <w:r w:rsidRPr="009536B9">
              <w:rPr>
                <w:rFonts w:ascii="Century Gothic" w:hAnsi="Century Gothic" w:cs="Tahoma"/>
                <w:color w:val="000000" w:themeColor="text1"/>
                <w:sz w:val="24"/>
                <w:szCs w:val="24"/>
              </w:rPr>
              <w:t>Escolar.</w:t>
            </w:r>
          </w:p>
          <w:p w14:paraId="133CBBF1" w14:textId="68F00105"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Páginas 210 a la 217</w:t>
            </w:r>
          </w:p>
        </w:tc>
        <w:tc>
          <w:tcPr>
            <w:tcW w:w="2910" w:type="dxa"/>
            <w:vAlign w:val="center"/>
          </w:tcPr>
          <w:p w14:paraId="1C02C1AD" w14:textId="09A8A12E"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Situaciones de riesgo en la escuela.</w:t>
            </w:r>
          </w:p>
        </w:tc>
        <w:tc>
          <w:tcPr>
            <w:tcW w:w="3802" w:type="dxa"/>
            <w:vAlign w:val="center"/>
          </w:tcPr>
          <w:p w14:paraId="30CCDB5F" w14:textId="49648C68"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Elaborar una bitácora en donde durante una semana, anotarán situaciones de riesgo que pueden presentarse al realizar actividades en los espacios escolares. A partir de su registro, podrán sugerir decisiones responsables para prevenir riesgos.</w:t>
            </w:r>
          </w:p>
        </w:tc>
      </w:tr>
      <w:tr w:rsidR="007D7480" w:rsidRPr="009536B9" w14:paraId="11363062" w14:textId="77777777" w:rsidTr="007D7480">
        <w:tc>
          <w:tcPr>
            <w:tcW w:w="3084" w:type="dxa"/>
            <w:vAlign w:val="center"/>
          </w:tcPr>
          <w:p w14:paraId="6A945832" w14:textId="73AA4E3F" w:rsidR="007D7480" w:rsidRPr="009536B9" w:rsidRDefault="007D7480" w:rsidP="007D7480">
            <w:pPr>
              <w:rPr>
                <w:rFonts w:ascii="Century Gothic" w:hAnsi="Century Gothic"/>
              </w:rPr>
            </w:pPr>
            <w:r w:rsidRPr="009536B9">
              <w:rPr>
                <w:rFonts w:ascii="Century Gothic" w:hAnsi="Century Gothic"/>
              </w:rPr>
              <w:t>De lo humano y lo comunitario</w:t>
            </w:r>
          </w:p>
        </w:tc>
        <w:tc>
          <w:tcPr>
            <w:tcW w:w="3028" w:type="dxa"/>
            <w:vAlign w:val="center"/>
          </w:tcPr>
          <w:p w14:paraId="1D6F1A87" w14:textId="77777777" w:rsidR="007D7480" w:rsidRPr="009536B9" w:rsidRDefault="007D7480" w:rsidP="007D7480">
            <w:pPr>
              <w:rPr>
                <w:rFonts w:ascii="Century Gothic" w:hAnsi="Century Gothic"/>
              </w:rPr>
            </w:pPr>
            <w:r w:rsidRPr="009536B9">
              <w:rPr>
                <w:rFonts w:ascii="Century Gothic" w:hAnsi="Century Gothic"/>
              </w:rPr>
              <w:t>Igualdad de género</w:t>
            </w:r>
          </w:p>
          <w:p w14:paraId="553CCF13" w14:textId="77777777" w:rsidR="007D7480" w:rsidRPr="009536B9" w:rsidRDefault="007D7480" w:rsidP="007D7480">
            <w:pPr>
              <w:rPr>
                <w:rFonts w:ascii="Century Gothic" w:hAnsi="Century Gothic"/>
              </w:rPr>
            </w:pPr>
            <w:r w:rsidRPr="009536B9">
              <w:rPr>
                <w:rFonts w:ascii="Century Gothic" w:hAnsi="Century Gothic"/>
              </w:rPr>
              <w:t xml:space="preserve">Artes y experiencias estéticas </w:t>
            </w:r>
          </w:p>
          <w:p w14:paraId="58086788" w14:textId="34FA4B3E" w:rsidR="007D7480" w:rsidRPr="009536B9" w:rsidRDefault="007D7480" w:rsidP="007D7480">
            <w:pPr>
              <w:rPr>
                <w:rFonts w:ascii="Century Gothic" w:hAnsi="Century Gothic"/>
              </w:rPr>
            </w:pPr>
          </w:p>
        </w:tc>
        <w:tc>
          <w:tcPr>
            <w:tcW w:w="1566" w:type="dxa"/>
            <w:vAlign w:val="center"/>
          </w:tcPr>
          <w:p w14:paraId="316B5D01" w14:textId="77777777" w:rsidR="007D7480" w:rsidRPr="009536B9" w:rsidRDefault="007D7480" w:rsidP="007D7480">
            <w:pPr>
              <w:jc w:val="center"/>
              <w:rPr>
                <w:rFonts w:ascii="Century Gothic" w:hAnsi="Century Gothic" w:cs="Tahoma"/>
                <w:color w:val="000000" w:themeColor="text1"/>
                <w:sz w:val="24"/>
                <w:szCs w:val="24"/>
              </w:rPr>
            </w:pPr>
            <w:r w:rsidRPr="009536B9">
              <w:rPr>
                <w:rFonts w:ascii="Century Gothic" w:hAnsi="Century Gothic" w:cs="Tahoma"/>
                <w:color w:val="000000" w:themeColor="text1"/>
                <w:sz w:val="24"/>
                <w:szCs w:val="24"/>
              </w:rPr>
              <w:t>Comunitario.</w:t>
            </w:r>
          </w:p>
          <w:p w14:paraId="55789F6D" w14:textId="7EDBC66D"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Páginas 228 a la 237</w:t>
            </w:r>
          </w:p>
        </w:tc>
        <w:tc>
          <w:tcPr>
            <w:tcW w:w="2910" w:type="dxa"/>
            <w:vAlign w:val="center"/>
          </w:tcPr>
          <w:p w14:paraId="0F88FC55" w14:textId="709B1480" w:rsidR="007D7480" w:rsidRPr="009536B9" w:rsidRDefault="007D7480" w:rsidP="007D7480">
            <w:pPr>
              <w:rPr>
                <w:rFonts w:ascii="Century Gothic" w:hAnsi="Century Gothic"/>
              </w:rPr>
            </w:pPr>
            <w:r w:rsidRPr="009536B9">
              <w:rPr>
                <w:rFonts w:ascii="Century Gothic" w:hAnsi="Century Gothic" w:cs="Tahoma"/>
                <w:color w:val="000000" w:themeColor="text1"/>
                <w:kern w:val="0"/>
                <w:sz w:val="24"/>
                <w:szCs w:val="24"/>
              </w:rPr>
              <w:t>Jugamos y convivimos en un entorno seguro y feliz.</w:t>
            </w:r>
          </w:p>
        </w:tc>
        <w:tc>
          <w:tcPr>
            <w:tcW w:w="3802" w:type="dxa"/>
            <w:vAlign w:val="center"/>
          </w:tcPr>
          <w:p w14:paraId="1544F34B" w14:textId="658F9CD2"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Identificar los riesgos de accidentes y de violencia en los entornos donde juegas en su comunidad. Realizar un pliego petitorio que ayude a evitarlos.</w:t>
            </w:r>
          </w:p>
        </w:tc>
      </w:tr>
      <w:tr w:rsidR="007D7480" w:rsidRPr="009536B9" w14:paraId="28903A2D" w14:textId="77777777" w:rsidTr="007D7480">
        <w:tc>
          <w:tcPr>
            <w:tcW w:w="3084" w:type="dxa"/>
            <w:vAlign w:val="center"/>
          </w:tcPr>
          <w:p w14:paraId="66EAD28D" w14:textId="48BC5032" w:rsidR="007D7480" w:rsidRPr="009536B9" w:rsidRDefault="007D7480" w:rsidP="007D7480">
            <w:pPr>
              <w:rPr>
                <w:rFonts w:ascii="Century Gothic" w:hAnsi="Century Gothic"/>
              </w:rPr>
            </w:pPr>
            <w:r w:rsidRPr="009536B9">
              <w:rPr>
                <w:rFonts w:ascii="Century Gothic" w:hAnsi="Century Gothic"/>
              </w:rPr>
              <w:t>Lenguajes</w:t>
            </w:r>
          </w:p>
        </w:tc>
        <w:tc>
          <w:tcPr>
            <w:tcW w:w="3028" w:type="dxa"/>
            <w:vAlign w:val="center"/>
          </w:tcPr>
          <w:p w14:paraId="5B40C802" w14:textId="77777777" w:rsidR="007D7480" w:rsidRPr="009536B9" w:rsidRDefault="007D7480" w:rsidP="007D7480">
            <w:pPr>
              <w:rPr>
                <w:rFonts w:ascii="Century Gothic" w:hAnsi="Century Gothic"/>
              </w:rPr>
            </w:pPr>
            <w:r w:rsidRPr="009536B9">
              <w:rPr>
                <w:rFonts w:ascii="Century Gothic" w:hAnsi="Century Gothic"/>
              </w:rPr>
              <w:t xml:space="preserve">Interculturalidad critica </w:t>
            </w:r>
          </w:p>
          <w:p w14:paraId="4AE4C557" w14:textId="77777777" w:rsidR="007D7480" w:rsidRPr="009536B9" w:rsidRDefault="007D7480" w:rsidP="007D7480">
            <w:pPr>
              <w:rPr>
                <w:rFonts w:ascii="Century Gothic" w:hAnsi="Century Gothic"/>
              </w:rPr>
            </w:pPr>
            <w:r w:rsidRPr="009536B9">
              <w:rPr>
                <w:rFonts w:ascii="Century Gothic" w:hAnsi="Century Gothic"/>
              </w:rPr>
              <w:t>Pensamiento crítico</w:t>
            </w:r>
          </w:p>
          <w:p w14:paraId="42ACED83" w14:textId="77777777" w:rsidR="007D7480" w:rsidRPr="009536B9" w:rsidRDefault="007D7480" w:rsidP="007D7480">
            <w:pPr>
              <w:rPr>
                <w:rFonts w:ascii="Century Gothic" w:hAnsi="Century Gothic"/>
              </w:rPr>
            </w:pPr>
            <w:r w:rsidRPr="009536B9">
              <w:rPr>
                <w:rFonts w:ascii="Century Gothic" w:hAnsi="Century Gothic"/>
              </w:rPr>
              <w:t>Inclusión</w:t>
            </w:r>
          </w:p>
          <w:p w14:paraId="1D32F38B" w14:textId="77777777" w:rsidR="007D7480" w:rsidRPr="009536B9" w:rsidRDefault="007D7480" w:rsidP="007D7480">
            <w:pPr>
              <w:rPr>
                <w:rFonts w:ascii="Century Gothic" w:hAnsi="Century Gothic"/>
              </w:rPr>
            </w:pPr>
            <w:r w:rsidRPr="009536B9">
              <w:rPr>
                <w:rFonts w:ascii="Century Gothic" w:hAnsi="Century Gothic"/>
              </w:rPr>
              <w:t xml:space="preserve">Apropiación de las culturas a través de la lectura y la escritura </w:t>
            </w:r>
          </w:p>
          <w:p w14:paraId="599C58D7" w14:textId="4386A27A" w:rsidR="007D7480" w:rsidRPr="009536B9" w:rsidRDefault="007D7480" w:rsidP="007D7480">
            <w:pPr>
              <w:rPr>
                <w:rFonts w:ascii="Century Gothic" w:hAnsi="Century Gothic"/>
              </w:rPr>
            </w:pPr>
          </w:p>
        </w:tc>
        <w:tc>
          <w:tcPr>
            <w:tcW w:w="1566" w:type="dxa"/>
            <w:vAlign w:val="center"/>
          </w:tcPr>
          <w:p w14:paraId="518011FC" w14:textId="77777777" w:rsidR="007D7480" w:rsidRPr="009536B9" w:rsidRDefault="007D7480" w:rsidP="007D7480">
            <w:pPr>
              <w:jc w:val="center"/>
              <w:rPr>
                <w:rFonts w:ascii="Century Gothic" w:hAnsi="Century Gothic" w:cs="Tahoma"/>
                <w:color w:val="000000" w:themeColor="text1"/>
                <w:sz w:val="24"/>
                <w:szCs w:val="24"/>
              </w:rPr>
            </w:pPr>
            <w:r w:rsidRPr="009536B9">
              <w:rPr>
                <w:rFonts w:ascii="Century Gothic" w:hAnsi="Century Gothic" w:cs="Tahoma"/>
                <w:color w:val="000000" w:themeColor="text1"/>
                <w:sz w:val="24"/>
                <w:szCs w:val="24"/>
              </w:rPr>
              <w:t>Comunitario.</w:t>
            </w:r>
          </w:p>
          <w:p w14:paraId="5E092657" w14:textId="393EC764"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Páginas 70 a la 79</w:t>
            </w:r>
          </w:p>
        </w:tc>
        <w:tc>
          <w:tcPr>
            <w:tcW w:w="2910" w:type="dxa"/>
            <w:vAlign w:val="center"/>
          </w:tcPr>
          <w:p w14:paraId="2010C993" w14:textId="3F28A762" w:rsidR="007D7480" w:rsidRPr="009536B9" w:rsidRDefault="007D7480" w:rsidP="007D7480">
            <w:pPr>
              <w:rPr>
                <w:rFonts w:ascii="Century Gothic" w:hAnsi="Century Gothic"/>
              </w:rPr>
            </w:pPr>
            <w:r w:rsidRPr="009536B9">
              <w:rPr>
                <w:rFonts w:ascii="Century Gothic" w:hAnsi="Century Gothic" w:cs="Tahoma"/>
                <w:color w:val="000000" w:themeColor="text1"/>
                <w:kern w:val="0"/>
                <w:sz w:val="24"/>
                <w:szCs w:val="24"/>
              </w:rPr>
              <w:t>¡Arriba la vida, abajo el peligro!</w:t>
            </w:r>
          </w:p>
        </w:tc>
        <w:tc>
          <w:tcPr>
            <w:tcW w:w="3802" w:type="dxa"/>
            <w:vAlign w:val="center"/>
          </w:tcPr>
          <w:p w14:paraId="3F11CA71" w14:textId="5768FFFA" w:rsidR="007D7480" w:rsidRPr="009536B9" w:rsidRDefault="007D7480" w:rsidP="007D7480">
            <w:pPr>
              <w:rPr>
                <w:rFonts w:ascii="Century Gothic" w:hAnsi="Century Gothic"/>
              </w:rPr>
            </w:pPr>
            <w:r w:rsidRPr="009536B9">
              <w:rPr>
                <w:rFonts w:ascii="Century Gothic" w:hAnsi="Century Gothic" w:cs="Tahoma"/>
                <w:color w:val="000000" w:themeColor="text1"/>
                <w:sz w:val="24"/>
                <w:szCs w:val="24"/>
              </w:rPr>
              <w:t>Al existir tantas formas de movilidad es importante reconocer los lugares seguros para desplazarse. Por ello, en colaboración grupal, realizarán un cartel informativo sobre la seguridad vial con el fin de fomentarla entre los integrantes de su comunidad.</w:t>
            </w:r>
          </w:p>
        </w:tc>
      </w:tr>
    </w:tbl>
    <w:p w14:paraId="099E919D" w14:textId="77777777" w:rsidR="002F59BC" w:rsidRPr="009536B9" w:rsidRDefault="002F59BC">
      <w:pPr>
        <w:rPr>
          <w:rFonts w:ascii="Century Gothic" w:hAnsi="Century Gothic"/>
        </w:rPr>
      </w:pPr>
    </w:p>
    <w:sectPr w:rsidR="002F59BC" w:rsidRPr="009536B9"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6DBF" w14:textId="77777777" w:rsidR="0097705C" w:rsidRDefault="0097705C" w:rsidP="002E3E2E">
      <w:pPr>
        <w:spacing w:after="0" w:line="240" w:lineRule="auto"/>
      </w:pPr>
      <w:r>
        <w:separator/>
      </w:r>
    </w:p>
  </w:endnote>
  <w:endnote w:type="continuationSeparator" w:id="0">
    <w:p w14:paraId="6FCB4F11" w14:textId="77777777" w:rsidR="0097705C" w:rsidRDefault="0097705C" w:rsidP="002E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15247" w14:textId="77777777" w:rsidR="0097705C" w:rsidRDefault="0097705C" w:rsidP="002E3E2E">
      <w:pPr>
        <w:spacing w:after="0" w:line="240" w:lineRule="auto"/>
      </w:pPr>
      <w:r>
        <w:separator/>
      </w:r>
    </w:p>
  </w:footnote>
  <w:footnote w:type="continuationSeparator" w:id="0">
    <w:p w14:paraId="31CB91AD" w14:textId="77777777" w:rsidR="0097705C" w:rsidRDefault="0097705C" w:rsidP="002E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7E0A" w14:textId="4A86B57F" w:rsidR="002E3E2E" w:rsidRPr="002E3E2E" w:rsidRDefault="002E3E2E" w:rsidP="002E3E2E">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247830AD" wp14:editId="31F02814">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E3E2E"/>
    <w:rsid w:val="002F59BC"/>
    <w:rsid w:val="00316351"/>
    <w:rsid w:val="004104AA"/>
    <w:rsid w:val="00721DB9"/>
    <w:rsid w:val="007D7480"/>
    <w:rsid w:val="008408BE"/>
    <w:rsid w:val="009536B9"/>
    <w:rsid w:val="0097705C"/>
    <w:rsid w:val="009A5BC5"/>
    <w:rsid w:val="00AD1658"/>
    <w:rsid w:val="00B474F4"/>
    <w:rsid w:val="00B51E4C"/>
    <w:rsid w:val="00BC7086"/>
    <w:rsid w:val="00CB06F3"/>
    <w:rsid w:val="00F36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3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E2E"/>
  </w:style>
  <w:style w:type="paragraph" w:styleId="Piedepgina">
    <w:name w:val="footer"/>
    <w:basedOn w:val="Normal"/>
    <w:link w:val="PiedepginaCar"/>
    <w:uiPriority w:val="99"/>
    <w:unhideWhenUsed/>
    <w:rsid w:val="002E3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45361">
      <w:bodyDiv w:val="1"/>
      <w:marLeft w:val="0"/>
      <w:marRight w:val="0"/>
      <w:marTop w:val="0"/>
      <w:marBottom w:val="0"/>
      <w:divBdr>
        <w:top w:val="none" w:sz="0" w:space="0" w:color="auto"/>
        <w:left w:val="none" w:sz="0" w:space="0" w:color="auto"/>
        <w:bottom w:val="none" w:sz="0" w:space="0" w:color="auto"/>
        <w:right w:val="none" w:sz="0" w:space="0" w:color="auto"/>
      </w:divBdr>
    </w:div>
    <w:div w:id="868566388">
      <w:bodyDiv w:val="1"/>
      <w:marLeft w:val="0"/>
      <w:marRight w:val="0"/>
      <w:marTop w:val="0"/>
      <w:marBottom w:val="0"/>
      <w:divBdr>
        <w:top w:val="none" w:sz="0" w:space="0" w:color="auto"/>
        <w:left w:val="none" w:sz="0" w:space="0" w:color="auto"/>
        <w:bottom w:val="none" w:sz="0" w:space="0" w:color="auto"/>
        <w:right w:val="none" w:sz="0" w:space="0" w:color="auto"/>
      </w:divBdr>
    </w:div>
    <w:div w:id="883172309">
      <w:bodyDiv w:val="1"/>
      <w:marLeft w:val="0"/>
      <w:marRight w:val="0"/>
      <w:marTop w:val="0"/>
      <w:marBottom w:val="0"/>
      <w:divBdr>
        <w:top w:val="none" w:sz="0" w:space="0" w:color="auto"/>
        <w:left w:val="none" w:sz="0" w:space="0" w:color="auto"/>
        <w:bottom w:val="none" w:sz="0" w:space="0" w:color="auto"/>
        <w:right w:val="none" w:sz="0" w:space="0" w:color="auto"/>
      </w:divBdr>
    </w:div>
    <w:div w:id="930968496">
      <w:bodyDiv w:val="1"/>
      <w:marLeft w:val="0"/>
      <w:marRight w:val="0"/>
      <w:marTop w:val="0"/>
      <w:marBottom w:val="0"/>
      <w:divBdr>
        <w:top w:val="none" w:sz="0" w:space="0" w:color="auto"/>
        <w:left w:val="none" w:sz="0" w:space="0" w:color="auto"/>
        <w:bottom w:val="none" w:sz="0" w:space="0" w:color="auto"/>
        <w:right w:val="none" w:sz="0" w:space="0" w:color="auto"/>
      </w:divBdr>
    </w:div>
    <w:div w:id="1293054049">
      <w:bodyDiv w:val="1"/>
      <w:marLeft w:val="0"/>
      <w:marRight w:val="0"/>
      <w:marTop w:val="0"/>
      <w:marBottom w:val="0"/>
      <w:divBdr>
        <w:top w:val="none" w:sz="0" w:space="0" w:color="auto"/>
        <w:left w:val="none" w:sz="0" w:space="0" w:color="auto"/>
        <w:bottom w:val="none" w:sz="0" w:space="0" w:color="auto"/>
        <w:right w:val="none" w:sz="0" w:space="0" w:color="auto"/>
      </w:divBdr>
    </w:div>
    <w:div w:id="1594505808">
      <w:bodyDiv w:val="1"/>
      <w:marLeft w:val="0"/>
      <w:marRight w:val="0"/>
      <w:marTop w:val="0"/>
      <w:marBottom w:val="0"/>
      <w:divBdr>
        <w:top w:val="none" w:sz="0" w:space="0" w:color="auto"/>
        <w:left w:val="none" w:sz="0" w:space="0" w:color="auto"/>
        <w:bottom w:val="none" w:sz="0" w:space="0" w:color="auto"/>
        <w:right w:val="none" w:sz="0" w:space="0" w:color="auto"/>
      </w:divBdr>
    </w:div>
    <w:div w:id="2099011215">
      <w:bodyDiv w:val="1"/>
      <w:marLeft w:val="0"/>
      <w:marRight w:val="0"/>
      <w:marTop w:val="0"/>
      <w:marBottom w:val="0"/>
      <w:divBdr>
        <w:top w:val="none" w:sz="0" w:space="0" w:color="auto"/>
        <w:left w:val="none" w:sz="0" w:space="0" w:color="auto"/>
        <w:bottom w:val="none" w:sz="0" w:space="0" w:color="auto"/>
        <w:right w:val="none" w:sz="0" w:space="0" w:color="auto"/>
      </w:divBdr>
    </w:div>
    <w:div w:id="21279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194</Words>
  <Characters>1068</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2025-02-02T00:21:00Z</dcterms:modified>
  <cp:category>www.DidacticosMX.com</cp:category>
</cp:coreProperties>
</file>