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DF972" w14:textId="7D01219E" w:rsidR="00AD1658" w:rsidRDefault="000458B3" w:rsidP="000458B3">
      <w:pPr>
        <w:spacing w:after="0"/>
        <w:jc w:val="center"/>
        <w:rPr>
          <w:rFonts w:ascii="Century Gothic" w:hAnsi="Century Gothic"/>
          <w:b/>
          <w:bCs/>
          <w:sz w:val="32"/>
          <w:szCs w:val="32"/>
        </w:rPr>
      </w:pPr>
      <w:r>
        <w:rPr>
          <w:rFonts w:ascii="Century Gothic" w:hAnsi="Century Gothic"/>
          <w:b/>
          <w:bCs/>
          <w:sz w:val="32"/>
          <w:szCs w:val="32"/>
        </w:rPr>
        <w:t>2d</w:t>
      </w:r>
      <w:r w:rsidRPr="00D46909">
        <w:rPr>
          <w:rFonts w:ascii="Century Gothic" w:hAnsi="Century Gothic"/>
          <w:b/>
          <w:bCs/>
          <w:sz w:val="32"/>
          <w:szCs w:val="32"/>
        </w:rPr>
        <w:t>o</w:t>
      </w:r>
      <w:r>
        <w:rPr>
          <w:rFonts w:ascii="Century Gothic" w:hAnsi="Century Gothic"/>
          <w:b/>
          <w:bCs/>
          <w:sz w:val="32"/>
          <w:szCs w:val="32"/>
        </w:rPr>
        <w:t xml:space="preserve"> Grado</w:t>
      </w:r>
    </w:p>
    <w:p w14:paraId="5F7DE1AD" w14:textId="15025FDB" w:rsidR="00E57218" w:rsidRPr="000458B3" w:rsidRDefault="00E57218" w:rsidP="000458B3">
      <w:pPr>
        <w:spacing w:after="0"/>
        <w:jc w:val="center"/>
        <w:rPr>
          <w:rFonts w:ascii="Century Gothic" w:hAnsi="Century Gothic"/>
          <w:b/>
          <w:bCs/>
          <w:sz w:val="32"/>
          <w:szCs w:val="32"/>
        </w:rPr>
      </w:pPr>
      <w:r>
        <w:rPr>
          <w:rFonts w:ascii="Century Gothic" w:hAnsi="Century Gothic"/>
          <w:b/>
          <w:bCs/>
          <w:sz w:val="32"/>
          <w:szCs w:val="32"/>
        </w:rPr>
        <w:t>FECHA</w:t>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3034"/>
        <w:gridCol w:w="2996"/>
        <w:gridCol w:w="1723"/>
        <w:gridCol w:w="2872"/>
        <w:gridCol w:w="3765"/>
      </w:tblGrid>
      <w:tr w:rsidR="00AD1658" w:rsidRPr="007860B3" w14:paraId="51312299" w14:textId="77777777" w:rsidTr="002C5BA5">
        <w:tc>
          <w:tcPr>
            <w:tcW w:w="14390" w:type="dxa"/>
            <w:gridSpan w:val="5"/>
            <w:shd w:val="clear" w:color="auto" w:fill="FFC5FF"/>
            <w:vAlign w:val="center"/>
          </w:tcPr>
          <w:p w14:paraId="7345A0A7" w14:textId="04C2CF56" w:rsidR="00AD1658" w:rsidRPr="007860B3" w:rsidRDefault="00E57218" w:rsidP="00AD1658">
            <w:pPr>
              <w:jc w:val="center"/>
              <w:rPr>
                <w:rFonts w:ascii="Century Gothic" w:hAnsi="Century Gothic"/>
                <w:b/>
                <w:bCs/>
                <w:sz w:val="26"/>
                <w:szCs w:val="26"/>
              </w:rPr>
            </w:pPr>
            <w:r w:rsidRPr="007860B3">
              <w:rPr>
                <w:rFonts w:ascii="Century Gothic" w:hAnsi="Century Gothic"/>
                <w:b/>
                <w:bCs/>
                <w:sz w:val="26"/>
                <w:szCs w:val="26"/>
              </w:rPr>
              <w:t>DOSIFICACIÓN</w:t>
            </w:r>
          </w:p>
        </w:tc>
      </w:tr>
      <w:tr w:rsidR="00AD1658" w:rsidRPr="007860B3" w14:paraId="0ED89697" w14:textId="77777777" w:rsidTr="007860B3">
        <w:tc>
          <w:tcPr>
            <w:tcW w:w="3080" w:type="dxa"/>
            <w:shd w:val="clear" w:color="auto" w:fill="FFE7FF"/>
            <w:vAlign w:val="center"/>
          </w:tcPr>
          <w:p w14:paraId="2010CF81" w14:textId="0E05CB10" w:rsidR="00AD1658" w:rsidRPr="007860B3" w:rsidRDefault="00AD1658" w:rsidP="00AD1658">
            <w:pPr>
              <w:jc w:val="center"/>
              <w:rPr>
                <w:rFonts w:ascii="Century Gothic" w:hAnsi="Century Gothic"/>
                <w:b/>
                <w:bCs/>
                <w:sz w:val="26"/>
                <w:szCs w:val="26"/>
              </w:rPr>
            </w:pPr>
            <w:r w:rsidRPr="007860B3">
              <w:rPr>
                <w:rFonts w:ascii="Century Gothic" w:hAnsi="Century Gothic"/>
                <w:b/>
                <w:bCs/>
                <w:sz w:val="26"/>
                <w:szCs w:val="26"/>
              </w:rPr>
              <w:t>Campo Formativo</w:t>
            </w:r>
          </w:p>
        </w:tc>
        <w:tc>
          <w:tcPr>
            <w:tcW w:w="3026" w:type="dxa"/>
            <w:shd w:val="clear" w:color="auto" w:fill="FFE7FF"/>
            <w:vAlign w:val="center"/>
          </w:tcPr>
          <w:p w14:paraId="3FF55929" w14:textId="2775533F" w:rsidR="00AD1658" w:rsidRPr="007860B3" w:rsidRDefault="00AD1658" w:rsidP="00AD1658">
            <w:pPr>
              <w:jc w:val="center"/>
              <w:rPr>
                <w:rFonts w:ascii="Century Gothic" w:hAnsi="Century Gothic"/>
                <w:b/>
                <w:bCs/>
                <w:sz w:val="26"/>
                <w:szCs w:val="26"/>
              </w:rPr>
            </w:pPr>
            <w:r w:rsidRPr="007860B3">
              <w:rPr>
                <w:rFonts w:ascii="Century Gothic" w:hAnsi="Century Gothic"/>
                <w:b/>
                <w:bCs/>
                <w:sz w:val="26"/>
                <w:szCs w:val="26"/>
              </w:rPr>
              <w:t>Ejes articuladores</w:t>
            </w:r>
          </w:p>
        </w:tc>
        <w:tc>
          <w:tcPr>
            <w:tcW w:w="1566" w:type="dxa"/>
            <w:shd w:val="clear" w:color="auto" w:fill="FFE7FF"/>
            <w:vAlign w:val="center"/>
          </w:tcPr>
          <w:p w14:paraId="426A56CE" w14:textId="6F50816E" w:rsidR="00AD1658" w:rsidRPr="007860B3" w:rsidRDefault="00AD1658" w:rsidP="00AD1658">
            <w:pPr>
              <w:jc w:val="center"/>
              <w:rPr>
                <w:rFonts w:ascii="Century Gothic" w:hAnsi="Century Gothic"/>
                <w:b/>
                <w:bCs/>
                <w:sz w:val="26"/>
                <w:szCs w:val="26"/>
              </w:rPr>
            </w:pPr>
            <w:r w:rsidRPr="007860B3">
              <w:rPr>
                <w:rFonts w:ascii="Century Gothic" w:hAnsi="Century Gothic"/>
                <w:b/>
                <w:bCs/>
                <w:sz w:val="26"/>
                <w:szCs w:val="26"/>
              </w:rPr>
              <w:t>Escenario</w:t>
            </w:r>
          </w:p>
        </w:tc>
        <w:tc>
          <w:tcPr>
            <w:tcW w:w="2910" w:type="dxa"/>
            <w:shd w:val="clear" w:color="auto" w:fill="FFE7FF"/>
            <w:vAlign w:val="center"/>
          </w:tcPr>
          <w:p w14:paraId="0490FFAC" w14:textId="4AF7C1E6" w:rsidR="00AD1658" w:rsidRPr="007860B3" w:rsidRDefault="00AD1658" w:rsidP="00AD1658">
            <w:pPr>
              <w:jc w:val="center"/>
              <w:rPr>
                <w:rFonts w:ascii="Century Gothic" w:hAnsi="Century Gothic"/>
                <w:b/>
                <w:bCs/>
                <w:sz w:val="26"/>
                <w:szCs w:val="26"/>
              </w:rPr>
            </w:pPr>
            <w:r w:rsidRPr="007860B3">
              <w:rPr>
                <w:rFonts w:ascii="Century Gothic" w:hAnsi="Century Gothic"/>
                <w:b/>
                <w:bCs/>
                <w:sz w:val="26"/>
                <w:szCs w:val="26"/>
              </w:rPr>
              <w:t>Nombre del proyecto</w:t>
            </w:r>
          </w:p>
        </w:tc>
        <w:tc>
          <w:tcPr>
            <w:tcW w:w="3808" w:type="dxa"/>
            <w:shd w:val="clear" w:color="auto" w:fill="FFE7FF"/>
            <w:vAlign w:val="center"/>
          </w:tcPr>
          <w:p w14:paraId="49AD0D00" w14:textId="0DD44579" w:rsidR="00AD1658" w:rsidRPr="007860B3" w:rsidRDefault="00AD1658" w:rsidP="00AD1658">
            <w:pPr>
              <w:jc w:val="center"/>
              <w:rPr>
                <w:rFonts w:ascii="Century Gothic" w:hAnsi="Century Gothic"/>
                <w:b/>
                <w:bCs/>
                <w:sz w:val="26"/>
                <w:szCs w:val="26"/>
              </w:rPr>
            </w:pPr>
            <w:r w:rsidRPr="007860B3">
              <w:rPr>
                <w:rFonts w:ascii="Century Gothic" w:hAnsi="Century Gothic"/>
                <w:b/>
                <w:bCs/>
                <w:sz w:val="26"/>
                <w:szCs w:val="26"/>
              </w:rPr>
              <w:t>Propósito</w:t>
            </w:r>
          </w:p>
        </w:tc>
      </w:tr>
      <w:tr w:rsidR="007860B3" w:rsidRPr="007860B3" w14:paraId="3E0896F7" w14:textId="77777777" w:rsidTr="007860B3">
        <w:tc>
          <w:tcPr>
            <w:tcW w:w="3080" w:type="dxa"/>
            <w:vAlign w:val="center"/>
          </w:tcPr>
          <w:p w14:paraId="2615CD50" w14:textId="2CDC92FC" w:rsidR="007860B3" w:rsidRPr="007860B3" w:rsidRDefault="007860B3" w:rsidP="007860B3">
            <w:pPr>
              <w:rPr>
                <w:rFonts w:ascii="Century Gothic" w:hAnsi="Century Gothic"/>
              </w:rPr>
            </w:pPr>
            <w:r w:rsidRPr="007860B3">
              <w:rPr>
                <w:rFonts w:ascii="Century Gothic" w:hAnsi="Century Gothic"/>
              </w:rPr>
              <w:t>De lo humano y lo comunitario</w:t>
            </w:r>
          </w:p>
        </w:tc>
        <w:tc>
          <w:tcPr>
            <w:tcW w:w="3026" w:type="dxa"/>
            <w:vAlign w:val="center"/>
          </w:tcPr>
          <w:p w14:paraId="243A01EF" w14:textId="77777777" w:rsidR="007860B3" w:rsidRPr="007860B3" w:rsidRDefault="007860B3" w:rsidP="007860B3">
            <w:pPr>
              <w:rPr>
                <w:rFonts w:ascii="Century Gothic" w:hAnsi="Century Gothic"/>
              </w:rPr>
            </w:pPr>
            <w:r w:rsidRPr="007860B3">
              <w:rPr>
                <w:rFonts w:ascii="Century Gothic" w:hAnsi="Century Gothic"/>
              </w:rPr>
              <w:t>Inclusión</w:t>
            </w:r>
          </w:p>
          <w:p w14:paraId="04C3A066" w14:textId="77777777" w:rsidR="007860B3" w:rsidRPr="007860B3" w:rsidRDefault="007860B3" w:rsidP="007860B3">
            <w:pPr>
              <w:rPr>
                <w:rFonts w:ascii="Century Gothic" w:hAnsi="Century Gothic"/>
              </w:rPr>
            </w:pPr>
            <w:r w:rsidRPr="007860B3">
              <w:rPr>
                <w:rFonts w:ascii="Century Gothic" w:hAnsi="Century Gothic"/>
              </w:rPr>
              <w:t>Saberes y pensamiento científico</w:t>
            </w:r>
          </w:p>
          <w:p w14:paraId="27AA470E" w14:textId="77777777" w:rsidR="007860B3" w:rsidRPr="007860B3" w:rsidRDefault="007860B3" w:rsidP="007860B3">
            <w:pPr>
              <w:rPr>
                <w:rFonts w:ascii="Century Gothic" w:hAnsi="Century Gothic"/>
              </w:rPr>
            </w:pPr>
            <w:r w:rsidRPr="007860B3">
              <w:rPr>
                <w:rFonts w:ascii="Century Gothic" w:hAnsi="Century Gothic"/>
              </w:rPr>
              <w:t xml:space="preserve">Interculturalidad critica </w:t>
            </w:r>
          </w:p>
          <w:p w14:paraId="3E7258E4" w14:textId="77777777" w:rsidR="007860B3" w:rsidRPr="007860B3" w:rsidRDefault="007860B3" w:rsidP="007860B3">
            <w:pPr>
              <w:rPr>
                <w:rFonts w:ascii="Century Gothic" w:hAnsi="Century Gothic"/>
              </w:rPr>
            </w:pPr>
            <w:r w:rsidRPr="007860B3">
              <w:rPr>
                <w:rFonts w:ascii="Century Gothic" w:hAnsi="Century Gothic"/>
              </w:rPr>
              <w:t xml:space="preserve">Artes y experiencias estéticas </w:t>
            </w:r>
          </w:p>
          <w:p w14:paraId="2D724138" w14:textId="37B8652F" w:rsidR="007860B3" w:rsidRPr="007860B3" w:rsidRDefault="007860B3" w:rsidP="007860B3">
            <w:pPr>
              <w:rPr>
                <w:rFonts w:ascii="Century Gothic" w:hAnsi="Century Gothic"/>
              </w:rPr>
            </w:pPr>
          </w:p>
        </w:tc>
        <w:tc>
          <w:tcPr>
            <w:tcW w:w="1566" w:type="dxa"/>
            <w:vAlign w:val="center"/>
          </w:tcPr>
          <w:p w14:paraId="1BA3EE43" w14:textId="77777777" w:rsidR="007860B3" w:rsidRPr="007860B3" w:rsidRDefault="007860B3" w:rsidP="007860B3">
            <w:pPr>
              <w:jc w:val="center"/>
              <w:rPr>
                <w:rFonts w:ascii="Century Gothic" w:hAnsi="Century Gothic" w:cs="Tahoma"/>
                <w:sz w:val="24"/>
                <w:szCs w:val="24"/>
              </w:rPr>
            </w:pPr>
            <w:r w:rsidRPr="007860B3">
              <w:rPr>
                <w:rFonts w:ascii="Century Gothic" w:hAnsi="Century Gothic" w:cs="Tahoma"/>
                <w:sz w:val="24"/>
                <w:szCs w:val="24"/>
              </w:rPr>
              <w:t>Aula.</w:t>
            </w:r>
          </w:p>
          <w:p w14:paraId="133CBBF1" w14:textId="7AF83E3A" w:rsidR="007860B3" w:rsidRPr="007860B3" w:rsidRDefault="007860B3" w:rsidP="007860B3">
            <w:pPr>
              <w:rPr>
                <w:rFonts w:ascii="Century Gothic" w:hAnsi="Century Gothic"/>
              </w:rPr>
            </w:pPr>
            <w:r w:rsidRPr="007860B3">
              <w:rPr>
                <w:rFonts w:ascii="Century Gothic" w:hAnsi="Century Gothic" w:cs="Tahoma"/>
                <w:sz w:val="24"/>
                <w:szCs w:val="24"/>
              </w:rPr>
              <w:t>Páginas 232 a la 241</w:t>
            </w:r>
          </w:p>
        </w:tc>
        <w:tc>
          <w:tcPr>
            <w:tcW w:w="2910" w:type="dxa"/>
            <w:vAlign w:val="center"/>
          </w:tcPr>
          <w:p w14:paraId="1C02C1AD" w14:textId="492A74CA" w:rsidR="007860B3" w:rsidRPr="007860B3" w:rsidRDefault="007860B3" w:rsidP="007860B3">
            <w:pPr>
              <w:rPr>
                <w:rFonts w:ascii="Century Gothic" w:hAnsi="Century Gothic"/>
              </w:rPr>
            </w:pPr>
            <w:r w:rsidRPr="007860B3">
              <w:rPr>
                <w:rFonts w:ascii="Century Gothic" w:hAnsi="Century Gothic" w:cs="Tahoma"/>
                <w:kern w:val="0"/>
                <w:sz w:val="24"/>
                <w:szCs w:val="24"/>
              </w:rPr>
              <w:t>La galería de emociones.</w:t>
            </w:r>
          </w:p>
        </w:tc>
        <w:tc>
          <w:tcPr>
            <w:tcW w:w="3808" w:type="dxa"/>
            <w:vAlign w:val="center"/>
          </w:tcPr>
          <w:p w14:paraId="30CCDB5F" w14:textId="3F2107D9" w:rsidR="007860B3" w:rsidRPr="007860B3" w:rsidRDefault="007860B3" w:rsidP="007860B3">
            <w:pPr>
              <w:rPr>
                <w:rFonts w:ascii="Century Gothic" w:hAnsi="Century Gothic"/>
              </w:rPr>
            </w:pPr>
            <w:r w:rsidRPr="007860B3">
              <w:rPr>
                <w:rFonts w:ascii="Century Gothic" w:hAnsi="Century Gothic" w:cs="Tahoma"/>
                <w:sz w:val="24"/>
                <w:szCs w:val="24"/>
              </w:rPr>
              <w:t>Identificar las emociones que se manifiestan ante ciertas situaciones de la vida cotidiana. Para ello, en comunidad, organizar una Galería de emociones en donde mostrarán distintas formas de expresar lo que sienten al convivir con su familia y amigos.</w:t>
            </w:r>
          </w:p>
        </w:tc>
      </w:tr>
      <w:tr w:rsidR="007860B3" w:rsidRPr="007860B3" w14:paraId="11363062" w14:textId="77777777" w:rsidTr="007860B3">
        <w:tc>
          <w:tcPr>
            <w:tcW w:w="3080" w:type="dxa"/>
            <w:vAlign w:val="center"/>
          </w:tcPr>
          <w:p w14:paraId="6A945832" w14:textId="0ADD0974" w:rsidR="007860B3" w:rsidRPr="007860B3" w:rsidRDefault="007860B3" w:rsidP="007860B3">
            <w:pPr>
              <w:rPr>
                <w:rFonts w:ascii="Century Gothic" w:hAnsi="Century Gothic"/>
              </w:rPr>
            </w:pPr>
            <w:r w:rsidRPr="007860B3">
              <w:rPr>
                <w:rFonts w:ascii="Century Gothic" w:hAnsi="Century Gothic"/>
              </w:rPr>
              <w:t>Ética, naturaleza y sociedades</w:t>
            </w:r>
          </w:p>
        </w:tc>
        <w:tc>
          <w:tcPr>
            <w:tcW w:w="3026" w:type="dxa"/>
            <w:vAlign w:val="center"/>
          </w:tcPr>
          <w:p w14:paraId="6D991610" w14:textId="77777777" w:rsidR="007860B3" w:rsidRPr="007860B3" w:rsidRDefault="007860B3" w:rsidP="007860B3">
            <w:pPr>
              <w:rPr>
                <w:rFonts w:ascii="Century Gothic" w:hAnsi="Century Gothic"/>
              </w:rPr>
            </w:pPr>
            <w:r w:rsidRPr="007860B3">
              <w:rPr>
                <w:rFonts w:ascii="Century Gothic" w:hAnsi="Century Gothic"/>
              </w:rPr>
              <w:t>Pensamiento crítico</w:t>
            </w:r>
          </w:p>
          <w:p w14:paraId="67092603" w14:textId="77777777" w:rsidR="007860B3" w:rsidRPr="007860B3" w:rsidRDefault="007860B3" w:rsidP="007860B3">
            <w:pPr>
              <w:rPr>
                <w:rFonts w:ascii="Century Gothic" w:hAnsi="Century Gothic"/>
              </w:rPr>
            </w:pPr>
            <w:r w:rsidRPr="007860B3">
              <w:rPr>
                <w:rFonts w:ascii="Century Gothic" w:hAnsi="Century Gothic"/>
              </w:rPr>
              <w:t>Igualdad de género</w:t>
            </w:r>
          </w:p>
          <w:p w14:paraId="3007E295" w14:textId="77777777" w:rsidR="007860B3" w:rsidRPr="007860B3" w:rsidRDefault="007860B3" w:rsidP="007860B3">
            <w:pPr>
              <w:rPr>
                <w:rFonts w:ascii="Century Gothic" w:hAnsi="Century Gothic"/>
              </w:rPr>
            </w:pPr>
            <w:r w:rsidRPr="007860B3">
              <w:rPr>
                <w:rFonts w:ascii="Century Gothic" w:hAnsi="Century Gothic"/>
              </w:rPr>
              <w:t>Vida saludable</w:t>
            </w:r>
          </w:p>
          <w:p w14:paraId="1F2A120C" w14:textId="77777777" w:rsidR="007860B3" w:rsidRPr="007860B3" w:rsidRDefault="007860B3" w:rsidP="007860B3">
            <w:pPr>
              <w:rPr>
                <w:rFonts w:ascii="Century Gothic" w:hAnsi="Century Gothic"/>
              </w:rPr>
            </w:pPr>
            <w:r w:rsidRPr="007860B3">
              <w:rPr>
                <w:rFonts w:ascii="Century Gothic" w:hAnsi="Century Gothic"/>
              </w:rPr>
              <w:t xml:space="preserve">Apropiación de las culturas a través de la lectura y la escritura </w:t>
            </w:r>
          </w:p>
          <w:p w14:paraId="63114926" w14:textId="77777777" w:rsidR="007860B3" w:rsidRPr="007860B3" w:rsidRDefault="007860B3" w:rsidP="007860B3">
            <w:pPr>
              <w:rPr>
                <w:rFonts w:ascii="Century Gothic" w:hAnsi="Century Gothic"/>
              </w:rPr>
            </w:pPr>
            <w:r w:rsidRPr="007860B3">
              <w:rPr>
                <w:rFonts w:ascii="Century Gothic" w:hAnsi="Century Gothic"/>
              </w:rPr>
              <w:t xml:space="preserve">Artes y experiencias estéticas </w:t>
            </w:r>
          </w:p>
          <w:p w14:paraId="58086788" w14:textId="34FA4B3E" w:rsidR="007860B3" w:rsidRPr="007860B3" w:rsidRDefault="007860B3" w:rsidP="007860B3">
            <w:pPr>
              <w:rPr>
                <w:rFonts w:ascii="Century Gothic" w:hAnsi="Century Gothic"/>
              </w:rPr>
            </w:pPr>
          </w:p>
        </w:tc>
        <w:tc>
          <w:tcPr>
            <w:tcW w:w="1566" w:type="dxa"/>
            <w:vAlign w:val="center"/>
          </w:tcPr>
          <w:p w14:paraId="7136F2BC" w14:textId="77777777" w:rsidR="007860B3" w:rsidRPr="007860B3" w:rsidRDefault="007860B3" w:rsidP="007860B3">
            <w:pPr>
              <w:jc w:val="center"/>
              <w:rPr>
                <w:rFonts w:ascii="Century Gothic" w:hAnsi="Century Gothic" w:cs="Tahoma"/>
                <w:sz w:val="24"/>
                <w:szCs w:val="24"/>
              </w:rPr>
            </w:pPr>
            <w:r w:rsidRPr="007860B3">
              <w:rPr>
                <w:rFonts w:ascii="Century Gothic" w:hAnsi="Century Gothic" w:cs="Tahoma"/>
                <w:sz w:val="24"/>
                <w:szCs w:val="24"/>
              </w:rPr>
              <w:t>Comunitario.</w:t>
            </w:r>
          </w:p>
          <w:p w14:paraId="55789F6D" w14:textId="640B0D82" w:rsidR="007860B3" w:rsidRPr="007860B3" w:rsidRDefault="007860B3" w:rsidP="007860B3">
            <w:pPr>
              <w:rPr>
                <w:rFonts w:ascii="Century Gothic" w:hAnsi="Century Gothic"/>
              </w:rPr>
            </w:pPr>
            <w:r w:rsidRPr="007860B3">
              <w:rPr>
                <w:rFonts w:ascii="Century Gothic" w:hAnsi="Century Gothic" w:cs="Tahoma"/>
                <w:sz w:val="24"/>
                <w:szCs w:val="24"/>
              </w:rPr>
              <w:t>Páginas 146 a la 155</w:t>
            </w:r>
          </w:p>
        </w:tc>
        <w:tc>
          <w:tcPr>
            <w:tcW w:w="2910" w:type="dxa"/>
            <w:vAlign w:val="center"/>
          </w:tcPr>
          <w:p w14:paraId="0F88FC55" w14:textId="7845C234" w:rsidR="007860B3" w:rsidRPr="007860B3" w:rsidRDefault="007860B3" w:rsidP="007860B3">
            <w:pPr>
              <w:rPr>
                <w:rFonts w:ascii="Century Gothic" w:hAnsi="Century Gothic"/>
              </w:rPr>
            </w:pPr>
            <w:r w:rsidRPr="007860B3">
              <w:rPr>
                <w:rFonts w:ascii="Century Gothic" w:hAnsi="Century Gothic" w:cs="Tahoma"/>
                <w:kern w:val="0"/>
                <w:sz w:val="24"/>
                <w:szCs w:val="24"/>
              </w:rPr>
              <w:t>Pintemos y hagamos un mundo sin violencia.</w:t>
            </w:r>
          </w:p>
        </w:tc>
        <w:tc>
          <w:tcPr>
            <w:tcW w:w="3808" w:type="dxa"/>
            <w:vAlign w:val="center"/>
          </w:tcPr>
          <w:p w14:paraId="1544F34B" w14:textId="2AA6F45E" w:rsidR="007860B3" w:rsidRPr="007860B3" w:rsidRDefault="007860B3" w:rsidP="007860B3">
            <w:pPr>
              <w:rPr>
                <w:rFonts w:ascii="Century Gothic" w:hAnsi="Century Gothic"/>
              </w:rPr>
            </w:pPr>
            <w:r w:rsidRPr="007860B3">
              <w:rPr>
                <w:rFonts w:ascii="Century Gothic" w:hAnsi="Century Gothic" w:cs="Tahoma"/>
                <w:sz w:val="24"/>
                <w:szCs w:val="24"/>
              </w:rPr>
              <w:t>Pintar el mural “Un mundo sin violencia”, con el cual reconocerán cómo el arte puede ser una herramienta para imaginar un ambiente libre de violencia.</w:t>
            </w:r>
          </w:p>
        </w:tc>
      </w:tr>
      <w:tr w:rsidR="007860B3" w:rsidRPr="007860B3" w14:paraId="28903A2D" w14:textId="77777777" w:rsidTr="007860B3">
        <w:tc>
          <w:tcPr>
            <w:tcW w:w="3080" w:type="dxa"/>
            <w:vAlign w:val="center"/>
          </w:tcPr>
          <w:p w14:paraId="66EAD28D" w14:textId="19037925" w:rsidR="007860B3" w:rsidRPr="007860B3" w:rsidRDefault="007860B3" w:rsidP="007860B3">
            <w:pPr>
              <w:rPr>
                <w:rFonts w:ascii="Century Gothic" w:hAnsi="Century Gothic"/>
              </w:rPr>
            </w:pPr>
            <w:r w:rsidRPr="007860B3">
              <w:rPr>
                <w:rFonts w:ascii="Century Gothic" w:hAnsi="Century Gothic"/>
              </w:rPr>
              <w:t>De lo humano y lo comunitario</w:t>
            </w:r>
          </w:p>
        </w:tc>
        <w:tc>
          <w:tcPr>
            <w:tcW w:w="3026" w:type="dxa"/>
            <w:vAlign w:val="center"/>
          </w:tcPr>
          <w:p w14:paraId="59E3F80B" w14:textId="77777777" w:rsidR="007860B3" w:rsidRPr="007860B3" w:rsidRDefault="007860B3" w:rsidP="007860B3">
            <w:pPr>
              <w:rPr>
                <w:rFonts w:ascii="Century Gothic" w:hAnsi="Century Gothic"/>
              </w:rPr>
            </w:pPr>
            <w:r w:rsidRPr="007860B3">
              <w:rPr>
                <w:rFonts w:ascii="Century Gothic" w:hAnsi="Century Gothic"/>
              </w:rPr>
              <w:t>Inclusión</w:t>
            </w:r>
          </w:p>
          <w:p w14:paraId="03FF3AED" w14:textId="77777777" w:rsidR="007860B3" w:rsidRPr="007860B3" w:rsidRDefault="007860B3" w:rsidP="007860B3">
            <w:pPr>
              <w:rPr>
                <w:rFonts w:ascii="Century Gothic" w:hAnsi="Century Gothic"/>
              </w:rPr>
            </w:pPr>
            <w:r w:rsidRPr="007860B3">
              <w:rPr>
                <w:rFonts w:ascii="Century Gothic" w:hAnsi="Century Gothic"/>
              </w:rPr>
              <w:t xml:space="preserve">Interculturalidad critica </w:t>
            </w:r>
          </w:p>
          <w:p w14:paraId="3E2C46DE" w14:textId="77777777" w:rsidR="007860B3" w:rsidRPr="007860B3" w:rsidRDefault="007860B3" w:rsidP="007860B3">
            <w:pPr>
              <w:rPr>
                <w:rFonts w:ascii="Century Gothic" w:hAnsi="Century Gothic"/>
              </w:rPr>
            </w:pPr>
            <w:r w:rsidRPr="007860B3">
              <w:rPr>
                <w:rFonts w:ascii="Century Gothic" w:hAnsi="Century Gothic"/>
              </w:rPr>
              <w:t>Igualdad de género</w:t>
            </w:r>
          </w:p>
          <w:p w14:paraId="599C58D7" w14:textId="4386A27A" w:rsidR="007860B3" w:rsidRPr="007860B3" w:rsidRDefault="007860B3" w:rsidP="007860B3">
            <w:pPr>
              <w:rPr>
                <w:rFonts w:ascii="Century Gothic" w:hAnsi="Century Gothic"/>
              </w:rPr>
            </w:pPr>
          </w:p>
        </w:tc>
        <w:tc>
          <w:tcPr>
            <w:tcW w:w="1566" w:type="dxa"/>
            <w:vAlign w:val="center"/>
          </w:tcPr>
          <w:p w14:paraId="61F97DA8" w14:textId="77777777" w:rsidR="007860B3" w:rsidRPr="007860B3" w:rsidRDefault="007860B3" w:rsidP="007860B3">
            <w:pPr>
              <w:jc w:val="center"/>
              <w:rPr>
                <w:rFonts w:ascii="Century Gothic" w:hAnsi="Century Gothic" w:cs="Tahoma"/>
                <w:sz w:val="24"/>
                <w:szCs w:val="24"/>
              </w:rPr>
            </w:pPr>
            <w:r w:rsidRPr="007860B3">
              <w:rPr>
                <w:rFonts w:ascii="Century Gothic" w:hAnsi="Century Gothic" w:cs="Tahoma"/>
                <w:sz w:val="24"/>
                <w:szCs w:val="24"/>
              </w:rPr>
              <w:t>Comunitario.</w:t>
            </w:r>
          </w:p>
          <w:p w14:paraId="5E092657" w14:textId="3B56891F" w:rsidR="007860B3" w:rsidRPr="007860B3" w:rsidRDefault="007860B3" w:rsidP="007860B3">
            <w:pPr>
              <w:rPr>
                <w:rFonts w:ascii="Century Gothic" w:hAnsi="Century Gothic"/>
              </w:rPr>
            </w:pPr>
            <w:r w:rsidRPr="007860B3">
              <w:rPr>
                <w:rFonts w:ascii="Century Gothic" w:hAnsi="Century Gothic" w:cs="Tahoma"/>
                <w:sz w:val="24"/>
                <w:szCs w:val="24"/>
              </w:rPr>
              <w:t>Páginas 246 a la 259</w:t>
            </w:r>
          </w:p>
        </w:tc>
        <w:tc>
          <w:tcPr>
            <w:tcW w:w="2910" w:type="dxa"/>
            <w:vAlign w:val="center"/>
          </w:tcPr>
          <w:p w14:paraId="2010C993" w14:textId="5690CFCD" w:rsidR="007860B3" w:rsidRPr="007860B3" w:rsidRDefault="007860B3" w:rsidP="007860B3">
            <w:pPr>
              <w:rPr>
                <w:rFonts w:ascii="Century Gothic" w:hAnsi="Century Gothic"/>
              </w:rPr>
            </w:pPr>
            <w:proofErr w:type="spellStart"/>
            <w:r w:rsidRPr="007860B3">
              <w:rPr>
                <w:rFonts w:ascii="Century Gothic" w:hAnsi="Century Gothic" w:cs="Tahoma"/>
                <w:kern w:val="0"/>
                <w:sz w:val="24"/>
                <w:szCs w:val="24"/>
              </w:rPr>
              <w:t>Todxs</w:t>
            </w:r>
            <w:proofErr w:type="spellEnd"/>
            <w:r w:rsidRPr="007860B3">
              <w:rPr>
                <w:rFonts w:ascii="Century Gothic" w:hAnsi="Century Gothic" w:cs="Tahoma"/>
                <w:kern w:val="0"/>
                <w:sz w:val="24"/>
                <w:szCs w:val="24"/>
              </w:rPr>
              <w:t xml:space="preserve"> construimos la paz.</w:t>
            </w:r>
          </w:p>
        </w:tc>
        <w:tc>
          <w:tcPr>
            <w:tcW w:w="3808" w:type="dxa"/>
            <w:vAlign w:val="center"/>
          </w:tcPr>
          <w:p w14:paraId="3F11CA71" w14:textId="3A5C6B1E" w:rsidR="007860B3" w:rsidRPr="007860B3" w:rsidRDefault="007860B3" w:rsidP="007860B3">
            <w:pPr>
              <w:rPr>
                <w:rFonts w:ascii="Century Gothic" w:hAnsi="Century Gothic"/>
              </w:rPr>
            </w:pPr>
            <w:proofErr w:type="gramStart"/>
            <w:r w:rsidRPr="007860B3">
              <w:rPr>
                <w:rFonts w:ascii="Century Gothic" w:hAnsi="Century Gothic" w:cs="Tahoma"/>
                <w:sz w:val="24"/>
                <w:szCs w:val="24"/>
              </w:rPr>
              <w:t>Reconocer</w:t>
            </w:r>
            <w:proofErr w:type="gramEnd"/>
            <w:r w:rsidRPr="007860B3">
              <w:rPr>
                <w:rFonts w:ascii="Century Gothic" w:hAnsi="Century Gothic" w:cs="Tahoma"/>
                <w:sz w:val="24"/>
                <w:szCs w:val="24"/>
              </w:rPr>
              <w:t xml:space="preserve"> que existen comportamientos y situaciones que generan conflictos entre las personas por lo cual organizarán una Jornada por la paz para proponer acciones que fomenten ambientes sanos y de colaboración en su comunidad.</w:t>
            </w:r>
          </w:p>
        </w:tc>
      </w:tr>
    </w:tbl>
    <w:p w14:paraId="099E919D" w14:textId="77777777" w:rsidR="002F59BC" w:rsidRDefault="002F59BC"/>
    <w:sectPr w:rsidR="002F59BC" w:rsidSect="00B51E4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57603" w14:textId="77777777" w:rsidR="00644807" w:rsidRDefault="00644807" w:rsidP="000458B3">
      <w:pPr>
        <w:spacing w:after="0" w:line="240" w:lineRule="auto"/>
      </w:pPr>
      <w:r>
        <w:separator/>
      </w:r>
    </w:p>
  </w:endnote>
  <w:endnote w:type="continuationSeparator" w:id="0">
    <w:p w14:paraId="58598F85" w14:textId="77777777" w:rsidR="00644807" w:rsidRDefault="00644807" w:rsidP="0004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5D3A2" w14:textId="77777777" w:rsidR="00644807" w:rsidRDefault="00644807" w:rsidP="000458B3">
      <w:pPr>
        <w:spacing w:after="0" w:line="240" w:lineRule="auto"/>
      </w:pPr>
      <w:r>
        <w:separator/>
      </w:r>
    </w:p>
  </w:footnote>
  <w:footnote w:type="continuationSeparator" w:id="0">
    <w:p w14:paraId="3D308D52" w14:textId="77777777" w:rsidR="00644807" w:rsidRDefault="00644807" w:rsidP="00045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3EB8" w14:textId="4F8E52F7" w:rsidR="000458B3" w:rsidRPr="000458B3" w:rsidRDefault="000458B3" w:rsidP="000458B3">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9264" behindDoc="1" locked="0" layoutInCell="1" allowOverlap="1" wp14:anchorId="7EA3C87B" wp14:editId="6C4F0068">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0458B3"/>
    <w:rsid w:val="00063275"/>
    <w:rsid w:val="00083CF7"/>
    <w:rsid w:val="002C5BA5"/>
    <w:rsid w:val="002F59BC"/>
    <w:rsid w:val="004104AA"/>
    <w:rsid w:val="00644807"/>
    <w:rsid w:val="007860B3"/>
    <w:rsid w:val="009A5BC5"/>
    <w:rsid w:val="00AD1658"/>
    <w:rsid w:val="00B474F4"/>
    <w:rsid w:val="00B51E4C"/>
    <w:rsid w:val="00E57218"/>
    <w:rsid w:val="00FC0A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58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58B3"/>
  </w:style>
  <w:style w:type="paragraph" w:styleId="Piedepgina">
    <w:name w:val="footer"/>
    <w:basedOn w:val="Normal"/>
    <w:link w:val="PiedepginaCar"/>
    <w:uiPriority w:val="99"/>
    <w:unhideWhenUsed/>
    <w:rsid w:val="000458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62727">
      <w:bodyDiv w:val="1"/>
      <w:marLeft w:val="0"/>
      <w:marRight w:val="0"/>
      <w:marTop w:val="0"/>
      <w:marBottom w:val="0"/>
      <w:divBdr>
        <w:top w:val="none" w:sz="0" w:space="0" w:color="auto"/>
        <w:left w:val="none" w:sz="0" w:space="0" w:color="auto"/>
        <w:bottom w:val="none" w:sz="0" w:space="0" w:color="auto"/>
        <w:right w:val="none" w:sz="0" w:space="0" w:color="auto"/>
      </w:divBdr>
    </w:div>
    <w:div w:id="424499431">
      <w:bodyDiv w:val="1"/>
      <w:marLeft w:val="0"/>
      <w:marRight w:val="0"/>
      <w:marTop w:val="0"/>
      <w:marBottom w:val="0"/>
      <w:divBdr>
        <w:top w:val="none" w:sz="0" w:space="0" w:color="auto"/>
        <w:left w:val="none" w:sz="0" w:space="0" w:color="auto"/>
        <w:bottom w:val="none" w:sz="0" w:space="0" w:color="auto"/>
        <w:right w:val="none" w:sz="0" w:space="0" w:color="auto"/>
      </w:divBdr>
    </w:div>
    <w:div w:id="647170188">
      <w:bodyDiv w:val="1"/>
      <w:marLeft w:val="0"/>
      <w:marRight w:val="0"/>
      <w:marTop w:val="0"/>
      <w:marBottom w:val="0"/>
      <w:divBdr>
        <w:top w:val="none" w:sz="0" w:space="0" w:color="auto"/>
        <w:left w:val="none" w:sz="0" w:space="0" w:color="auto"/>
        <w:bottom w:val="none" w:sz="0" w:space="0" w:color="auto"/>
        <w:right w:val="none" w:sz="0" w:space="0" w:color="auto"/>
      </w:divBdr>
    </w:div>
    <w:div w:id="669990182">
      <w:bodyDiv w:val="1"/>
      <w:marLeft w:val="0"/>
      <w:marRight w:val="0"/>
      <w:marTop w:val="0"/>
      <w:marBottom w:val="0"/>
      <w:divBdr>
        <w:top w:val="none" w:sz="0" w:space="0" w:color="auto"/>
        <w:left w:val="none" w:sz="0" w:space="0" w:color="auto"/>
        <w:bottom w:val="none" w:sz="0" w:space="0" w:color="auto"/>
        <w:right w:val="none" w:sz="0" w:space="0" w:color="auto"/>
      </w:divBdr>
    </w:div>
    <w:div w:id="819155373">
      <w:bodyDiv w:val="1"/>
      <w:marLeft w:val="0"/>
      <w:marRight w:val="0"/>
      <w:marTop w:val="0"/>
      <w:marBottom w:val="0"/>
      <w:divBdr>
        <w:top w:val="none" w:sz="0" w:space="0" w:color="auto"/>
        <w:left w:val="none" w:sz="0" w:space="0" w:color="auto"/>
        <w:bottom w:val="none" w:sz="0" w:space="0" w:color="auto"/>
        <w:right w:val="none" w:sz="0" w:space="0" w:color="auto"/>
      </w:divBdr>
    </w:div>
    <w:div w:id="1121151009">
      <w:bodyDiv w:val="1"/>
      <w:marLeft w:val="0"/>
      <w:marRight w:val="0"/>
      <w:marTop w:val="0"/>
      <w:marBottom w:val="0"/>
      <w:divBdr>
        <w:top w:val="none" w:sz="0" w:space="0" w:color="auto"/>
        <w:left w:val="none" w:sz="0" w:space="0" w:color="auto"/>
        <w:bottom w:val="none" w:sz="0" w:space="0" w:color="auto"/>
        <w:right w:val="none" w:sz="0" w:space="0" w:color="auto"/>
      </w:divBdr>
    </w:div>
    <w:div w:id="1291938803">
      <w:bodyDiv w:val="1"/>
      <w:marLeft w:val="0"/>
      <w:marRight w:val="0"/>
      <w:marTop w:val="0"/>
      <w:marBottom w:val="0"/>
      <w:divBdr>
        <w:top w:val="none" w:sz="0" w:space="0" w:color="auto"/>
        <w:left w:val="none" w:sz="0" w:space="0" w:color="auto"/>
        <w:bottom w:val="none" w:sz="0" w:space="0" w:color="auto"/>
        <w:right w:val="none" w:sz="0" w:space="0" w:color="auto"/>
      </w:divBdr>
    </w:div>
    <w:div w:id="1353071975">
      <w:bodyDiv w:val="1"/>
      <w:marLeft w:val="0"/>
      <w:marRight w:val="0"/>
      <w:marTop w:val="0"/>
      <w:marBottom w:val="0"/>
      <w:divBdr>
        <w:top w:val="none" w:sz="0" w:space="0" w:color="auto"/>
        <w:left w:val="none" w:sz="0" w:space="0" w:color="auto"/>
        <w:bottom w:val="none" w:sz="0" w:space="0" w:color="auto"/>
        <w:right w:val="none" w:sz="0" w:space="0" w:color="auto"/>
      </w:divBdr>
    </w:div>
    <w:div w:id="1407848491">
      <w:bodyDiv w:val="1"/>
      <w:marLeft w:val="0"/>
      <w:marRight w:val="0"/>
      <w:marTop w:val="0"/>
      <w:marBottom w:val="0"/>
      <w:divBdr>
        <w:top w:val="none" w:sz="0" w:space="0" w:color="auto"/>
        <w:left w:val="none" w:sz="0" w:space="0" w:color="auto"/>
        <w:bottom w:val="none" w:sz="0" w:space="0" w:color="auto"/>
        <w:right w:val="none" w:sz="0" w:space="0" w:color="auto"/>
      </w:divBdr>
    </w:div>
    <w:div w:id="1470709987">
      <w:bodyDiv w:val="1"/>
      <w:marLeft w:val="0"/>
      <w:marRight w:val="0"/>
      <w:marTop w:val="0"/>
      <w:marBottom w:val="0"/>
      <w:divBdr>
        <w:top w:val="none" w:sz="0" w:space="0" w:color="auto"/>
        <w:left w:val="none" w:sz="0" w:space="0" w:color="auto"/>
        <w:bottom w:val="none" w:sz="0" w:space="0" w:color="auto"/>
        <w:right w:val="none" w:sz="0" w:space="0" w:color="auto"/>
      </w:divBdr>
    </w:div>
    <w:div w:id="17880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205</Words>
  <Characters>1130</Characters>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2025-01-06T22:51:00Z</dcterms:modified>
  <cp:category>www.DidacticosMX.com</cp:category>
</cp:coreProperties>
</file>