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591D4B03" w:rsidR="002E23F0" w:rsidRPr="00C825A1" w:rsidRDefault="001B6FB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 AL 20 DICIEMBRE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547"/>
        <w:gridCol w:w="2551"/>
        <w:gridCol w:w="1843"/>
        <w:gridCol w:w="1985"/>
        <w:gridCol w:w="5464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2D001142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1B6FB1">
        <w:tc>
          <w:tcPr>
            <w:tcW w:w="2547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5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1985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5464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1B6FB1" w:rsidRPr="00AD1658" w14:paraId="3E0896F7" w14:textId="77777777" w:rsidTr="001B6FB1">
        <w:tc>
          <w:tcPr>
            <w:tcW w:w="2547" w:type="dxa"/>
            <w:vAlign w:val="center"/>
          </w:tcPr>
          <w:p w14:paraId="2615CD50" w14:textId="4B935136" w:rsidR="001B6FB1" w:rsidRPr="00071BE6" w:rsidRDefault="001B6FB1" w:rsidP="001B6F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71BE6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2551" w:type="dxa"/>
            <w:vAlign w:val="center"/>
          </w:tcPr>
          <w:p w14:paraId="2D724138" w14:textId="3947F399" w:rsidR="001B6FB1" w:rsidRPr="00071BE6" w:rsidRDefault="001B6FB1" w:rsidP="001B6F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71BE6">
              <w:rPr>
                <w:rFonts w:ascii="Century Gothic" w:hAnsi="Century Gothic"/>
                <w:sz w:val="24"/>
                <w:szCs w:val="24"/>
              </w:rPr>
              <w:t>Interculturalidad crítica, Apropiación de las culturas a través de la lectura y la escritura, Artes y experiencias estéticas</w:t>
            </w:r>
          </w:p>
        </w:tc>
        <w:tc>
          <w:tcPr>
            <w:tcW w:w="1843" w:type="dxa"/>
            <w:vAlign w:val="center"/>
          </w:tcPr>
          <w:p w14:paraId="4FB78055" w14:textId="77777777" w:rsidR="001B6FB1" w:rsidRPr="00F35B3D" w:rsidRDefault="001B6FB1" w:rsidP="001B6FB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4DC31B37" w:rsidR="001B6FB1" w:rsidRPr="00AD1658" w:rsidRDefault="001B6FB1" w:rsidP="001B6FB1">
            <w:pPr>
              <w:jc w:val="center"/>
              <w:rPr>
                <w:rFonts w:ascii="Century Gothic" w:hAnsi="Century Gothic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Páginas 94 a la 105</w:t>
            </w:r>
          </w:p>
        </w:tc>
        <w:tc>
          <w:tcPr>
            <w:tcW w:w="1985" w:type="dxa"/>
            <w:vAlign w:val="center"/>
          </w:tcPr>
          <w:p w14:paraId="1C02C1AD" w14:textId="6FDEC448" w:rsidR="001B6FB1" w:rsidRPr="001B6FB1" w:rsidRDefault="001B6FB1" w:rsidP="001B6F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B6FB1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Soy pasado y presente, soy mis raíces y mi presente.</w:t>
            </w:r>
          </w:p>
        </w:tc>
        <w:tc>
          <w:tcPr>
            <w:tcW w:w="5464" w:type="dxa"/>
            <w:vAlign w:val="center"/>
          </w:tcPr>
          <w:p w14:paraId="30CCDB5F" w14:textId="4F900CC8" w:rsidR="001B6FB1" w:rsidRPr="00AD1658" w:rsidRDefault="001B6FB1" w:rsidP="001B6FB1">
            <w:pPr>
              <w:jc w:val="both"/>
              <w:rPr>
                <w:rFonts w:ascii="Century Gothic" w:hAnsi="Century Gothic"/>
              </w:rPr>
            </w:pPr>
            <w:r w:rsidRPr="00F35B3D">
              <w:rPr>
                <w:rFonts w:ascii="Century Gothic" w:hAnsi="Century Gothic" w:cs="Tahoma"/>
                <w:kern w:val="0"/>
                <w:sz w:val="24"/>
                <w:szCs w:val="24"/>
              </w:rPr>
              <w:t>Realizar una representación dancística mediante la comprensión y reinterpretación de elementos simbólicos de la realidad y la fantasía, con la finalidad de fomentar un sentido de identidad y pertenencia con la comunidad.</w:t>
            </w:r>
          </w:p>
        </w:tc>
      </w:tr>
      <w:tr w:rsidR="001B6FB1" w:rsidRPr="00AD1658" w14:paraId="11363062" w14:textId="77777777" w:rsidTr="001B6FB1">
        <w:tc>
          <w:tcPr>
            <w:tcW w:w="2547" w:type="dxa"/>
            <w:vAlign w:val="center"/>
          </w:tcPr>
          <w:p w14:paraId="6A945832" w14:textId="44DB5D55" w:rsidR="001B6FB1" w:rsidRPr="00071BE6" w:rsidRDefault="001B6FB1" w:rsidP="001B6F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71BE6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2551" w:type="dxa"/>
            <w:vAlign w:val="center"/>
          </w:tcPr>
          <w:p w14:paraId="58086788" w14:textId="30D6332E" w:rsidR="001B6FB1" w:rsidRPr="00071BE6" w:rsidRDefault="001B6FB1" w:rsidP="001B6F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71BE6">
              <w:rPr>
                <w:rFonts w:ascii="Century Gothic" w:hAnsi="Century Gothic"/>
                <w:sz w:val="24"/>
                <w:szCs w:val="24"/>
              </w:rPr>
              <w:t>Pensamiento crítico, Apropiación de las culturas a través de la lectura y la escritura, Artes y experiencias estéticas</w:t>
            </w:r>
          </w:p>
        </w:tc>
        <w:tc>
          <w:tcPr>
            <w:tcW w:w="1843" w:type="dxa"/>
            <w:vAlign w:val="center"/>
          </w:tcPr>
          <w:p w14:paraId="6447395C" w14:textId="77777777" w:rsidR="001B6FB1" w:rsidRPr="00F35B3D" w:rsidRDefault="001B6FB1" w:rsidP="001B6FB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1B705D0F" w:rsidR="001B6FB1" w:rsidRPr="00AD1658" w:rsidRDefault="001B6FB1" w:rsidP="001B6FB1">
            <w:pPr>
              <w:jc w:val="center"/>
              <w:rPr>
                <w:rFonts w:ascii="Century Gothic" w:hAnsi="Century Gothic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Páginas 24 a la 35</w:t>
            </w:r>
          </w:p>
        </w:tc>
        <w:tc>
          <w:tcPr>
            <w:tcW w:w="1985" w:type="dxa"/>
            <w:vAlign w:val="center"/>
          </w:tcPr>
          <w:p w14:paraId="0F88FC55" w14:textId="70294B93" w:rsidR="001B6FB1" w:rsidRPr="001B6FB1" w:rsidRDefault="001B6FB1" w:rsidP="001B6F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B6FB1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Antología “El ojo crítico”.</w:t>
            </w:r>
          </w:p>
        </w:tc>
        <w:tc>
          <w:tcPr>
            <w:tcW w:w="5464" w:type="dxa"/>
            <w:vAlign w:val="center"/>
          </w:tcPr>
          <w:p w14:paraId="1544F34B" w14:textId="0CCAC97C" w:rsidR="001B6FB1" w:rsidRPr="00AD1658" w:rsidRDefault="001B6FB1" w:rsidP="001B6FB1">
            <w:pPr>
              <w:jc w:val="both"/>
              <w:rPr>
                <w:rFonts w:ascii="Century Gothic" w:hAnsi="Century Gothic"/>
              </w:rPr>
            </w:pPr>
            <w:r w:rsidRPr="00F35B3D">
              <w:rPr>
                <w:rFonts w:ascii="Century Gothic" w:hAnsi="Century Gothic" w:cs="Tahoma"/>
                <w:kern w:val="0"/>
                <w:sz w:val="24"/>
                <w:szCs w:val="24"/>
              </w:rPr>
              <w:t>Conocer algunos recursos descriptivos que les permitan darle lógica a la estructura de diversos tipos de texto. Integrar la Antología “El ojo crítico” con diversas descripciones que les permitirá detallar las cosas que los rodean, ser perspicaces, observadores, precisos, claros y contundentes.</w:t>
            </w:r>
          </w:p>
        </w:tc>
      </w:tr>
      <w:tr w:rsidR="001B6FB1" w:rsidRPr="00AD1658" w14:paraId="28903A2D" w14:textId="77777777" w:rsidTr="001B6FB1">
        <w:tc>
          <w:tcPr>
            <w:tcW w:w="2547" w:type="dxa"/>
            <w:vAlign w:val="center"/>
          </w:tcPr>
          <w:p w14:paraId="66EAD28D" w14:textId="5143DDC5" w:rsidR="001B6FB1" w:rsidRPr="00071BE6" w:rsidRDefault="001B6FB1" w:rsidP="001B6F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71BE6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2551" w:type="dxa"/>
            <w:vAlign w:val="center"/>
          </w:tcPr>
          <w:p w14:paraId="599C58D7" w14:textId="0EB60467" w:rsidR="001B6FB1" w:rsidRPr="00071BE6" w:rsidRDefault="001B6FB1" w:rsidP="001B6F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71BE6">
              <w:rPr>
                <w:rFonts w:ascii="Century Gothic" w:hAnsi="Century Gothic"/>
                <w:sz w:val="24"/>
                <w:szCs w:val="24"/>
              </w:rPr>
              <w:t>Pensamiento crítico, Igualdad de género</w:t>
            </w:r>
          </w:p>
        </w:tc>
        <w:tc>
          <w:tcPr>
            <w:tcW w:w="1843" w:type="dxa"/>
            <w:vAlign w:val="center"/>
          </w:tcPr>
          <w:p w14:paraId="5AA059E2" w14:textId="77777777" w:rsidR="001B6FB1" w:rsidRPr="00F35B3D" w:rsidRDefault="001B6FB1" w:rsidP="001B6FB1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E092657" w14:textId="54A52A03" w:rsidR="001B6FB1" w:rsidRPr="00AD1658" w:rsidRDefault="001B6FB1" w:rsidP="001B6FB1">
            <w:pPr>
              <w:jc w:val="center"/>
              <w:rPr>
                <w:rFonts w:ascii="Century Gothic" w:hAnsi="Century Gothic"/>
              </w:rPr>
            </w:pPr>
            <w:r w:rsidRPr="00F35B3D">
              <w:rPr>
                <w:rFonts w:ascii="Century Gothic" w:hAnsi="Century Gothic" w:cs="Tahoma"/>
                <w:sz w:val="24"/>
                <w:szCs w:val="24"/>
              </w:rPr>
              <w:t>Páginas 252 a la 263</w:t>
            </w:r>
          </w:p>
        </w:tc>
        <w:tc>
          <w:tcPr>
            <w:tcW w:w="1985" w:type="dxa"/>
            <w:vAlign w:val="center"/>
          </w:tcPr>
          <w:p w14:paraId="2010C993" w14:textId="1D577747" w:rsidR="001B6FB1" w:rsidRPr="001B6FB1" w:rsidRDefault="001B6FB1" w:rsidP="001B6FB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1B6FB1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De la lucha armada de 1910 a la justicia social de hoy.</w:t>
            </w:r>
          </w:p>
        </w:tc>
        <w:tc>
          <w:tcPr>
            <w:tcW w:w="5464" w:type="dxa"/>
            <w:vAlign w:val="center"/>
          </w:tcPr>
          <w:p w14:paraId="3F11CA71" w14:textId="258120AD" w:rsidR="001B6FB1" w:rsidRPr="00AD1658" w:rsidRDefault="001B6FB1" w:rsidP="001B6FB1">
            <w:pPr>
              <w:jc w:val="both"/>
              <w:rPr>
                <w:rFonts w:ascii="Century Gothic" w:hAnsi="Century Gothic"/>
              </w:rPr>
            </w:pPr>
            <w:r w:rsidRPr="00F35B3D">
              <w:rPr>
                <w:rFonts w:ascii="Century Gothic" w:hAnsi="Century Gothic" w:cs="Tahoma"/>
                <w:kern w:val="0"/>
                <w:sz w:val="24"/>
                <w:szCs w:val="24"/>
              </w:rPr>
              <w:t>Conocer problemas sociales del pasado para comprender sus causas e influencia en las instituciones, los derechos humanos y los cambios en el mundo donde viven. Notar cómo, a lo largo del tiempo, las comunidades han construido su historia a partir de movimientos sociales que las transforman.</w:t>
            </w:r>
          </w:p>
        </w:tc>
      </w:tr>
    </w:tbl>
    <w:p w14:paraId="78C66A50" w14:textId="77777777" w:rsidR="006430AB" w:rsidRDefault="006430AB"/>
    <w:sectPr w:rsidR="006430AB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A6CFD" w14:textId="77777777" w:rsidR="00D05799" w:rsidRDefault="00D05799" w:rsidP="00C825A1">
      <w:pPr>
        <w:spacing w:after="0" w:line="240" w:lineRule="auto"/>
      </w:pPr>
      <w:r>
        <w:separator/>
      </w:r>
    </w:p>
  </w:endnote>
  <w:endnote w:type="continuationSeparator" w:id="0">
    <w:p w14:paraId="4A91F70F" w14:textId="77777777" w:rsidR="00D05799" w:rsidRDefault="00D05799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A141F" w14:textId="77777777" w:rsidR="00D05799" w:rsidRDefault="00D05799" w:rsidP="00C825A1">
      <w:pPr>
        <w:spacing w:after="0" w:line="240" w:lineRule="auto"/>
      </w:pPr>
      <w:r>
        <w:separator/>
      </w:r>
    </w:p>
  </w:footnote>
  <w:footnote w:type="continuationSeparator" w:id="0">
    <w:p w14:paraId="3836AE4E" w14:textId="77777777" w:rsidR="00D05799" w:rsidRDefault="00D05799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71BE6"/>
    <w:rsid w:val="00100E3B"/>
    <w:rsid w:val="00113749"/>
    <w:rsid w:val="001B6FB1"/>
    <w:rsid w:val="002B6895"/>
    <w:rsid w:val="002E23F0"/>
    <w:rsid w:val="002F59BC"/>
    <w:rsid w:val="003F2209"/>
    <w:rsid w:val="004104AA"/>
    <w:rsid w:val="004649D0"/>
    <w:rsid w:val="004E3419"/>
    <w:rsid w:val="006430AB"/>
    <w:rsid w:val="00725032"/>
    <w:rsid w:val="007A031F"/>
    <w:rsid w:val="007C60E6"/>
    <w:rsid w:val="009A5BC5"/>
    <w:rsid w:val="00AD1658"/>
    <w:rsid w:val="00B10DAE"/>
    <w:rsid w:val="00B474F4"/>
    <w:rsid w:val="00B51E4C"/>
    <w:rsid w:val="00BC696A"/>
    <w:rsid w:val="00C65812"/>
    <w:rsid w:val="00C7348C"/>
    <w:rsid w:val="00C825A1"/>
    <w:rsid w:val="00C82D7E"/>
    <w:rsid w:val="00D05799"/>
    <w:rsid w:val="00FD6281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1258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2024-12-04T04:35:00Z</dcterms:modified>
  <cp:category>www.DidacticosMX.com</cp:category>
</cp:coreProperties>
</file>