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F972" w14:textId="261E0EFF" w:rsidR="00AD1658" w:rsidRDefault="0040208D" w:rsidP="0040208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3er Grado</w:t>
      </w:r>
    </w:p>
    <w:p w14:paraId="48B3BB10" w14:textId="67458A22" w:rsidR="00E217F1" w:rsidRPr="0040208D" w:rsidRDefault="00E217F1" w:rsidP="0040208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3045"/>
        <w:gridCol w:w="3000"/>
        <w:gridCol w:w="1723"/>
        <w:gridCol w:w="2874"/>
        <w:gridCol w:w="3748"/>
      </w:tblGrid>
      <w:tr w:rsidR="00AD1658" w:rsidRPr="00FB3516" w14:paraId="51312299" w14:textId="77777777" w:rsidTr="0072408D">
        <w:tc>
          <w:tcPr>
            <w:tcW w:w="14390" w:type="dxa"/>
            <w:gridSpan w:val="5"/>
            <w:shd w:val="clear" w:color="auto" w:fill="C1DAFF"/>
            <w:vAlign w:val="center"/>
          </w:tcPr>
          <w:p w14:paraId="7345A0A7" w14:textId="7C5F74E2" w:rsidR="00AD1658" w:rsidRPr="00FB3516" w:rsidRDefault="00E217F1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FB3516"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FB3516" w14:paraId="0ED89697" w14:textId="77777777" w:rsidTr="00FB3516">
        <w:tc>
          <w:tcPr>
            <w:tcW w:w="3084" w:type="dxa"/>
            <w:shd w:val="clear" w:color="auto" w:fill="E5F0FF"/>
            <w:vAlign w:val="center"/>
          </w:tcPr>
          <w:p w14:paraId="2010CF81" w14:textId="0E05CB10" w:rsidR="00AD1658" w:rsidRPr="00FB3516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FB3516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28" w:type="dxa"/>
            <w:shd w:val="clear" w:color="auto" w:fill="E5F0FF"/>
            <w:vAlign w:val="center"/>
          </w:tcPr>
          <w:p w14:paraId="3FF55929" w14:textId="2775533F" w:rsidR="00AD1658" w:rsidRPr="00FB3516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FB3516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566" w:type="dxa"/>
            <w:shd w:val="clear" w:color="auto" w:fill="E5F0FF"/>
            <w:vAlign w:val="center"/>
          </w:tcPr>
          <w:p w14:paraId="426A56CE" w14:textId="6F50816E" w:rsidR="00AD1658" w:rsidRPr="00FB3516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FB3516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10" w:type="dxa"/>
            <w:shd w:val="clear" w:color="auto" w:fill="E5F0FF"/>
            <w:vAlign w:val="center"/>
          </w:tcPr>
          <w:p w14:paraId="0490FFAC" w14:textId="4AF7C1E6" w:rsidR="00AD1658" w:rsidRPr="00FB3516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FB3516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02" w:type="dxa"/>
            <w:shd w:val="clear" w:color="auto" w:fill="E5F0FF"/>
            <w:vAlign w:val="center"/>
          </w:tcPr>
          <w:p w14:paraId="49AD0D00" w14:textId="0DD44579" w:rsidR="00AD1658" w:rsidRPr="00FB3516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FB3516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FB3516" w:rsidRPr="00FB3516" w14:paraId="3E0896F7" w14:textId="77777777" w:rsidTr="00FB3516">
        <w:tc>
          <w:tcPr>
            <w:tcW w:w="3084" w:type="dxa"/>
            <w:vAlign w:val="center"/>
          </w:tcPr>
          <w:p w14:paraId="2615CD50" w14:textId="17FE8E85" w:rsidR="00FB3516" w:rsidRPr="00FB3516" w:rsidRDefault="00FB3516" w:rsidP="00FB3516">
            <w:pPr>
              <w:rPr>
                <w:rFonts w:ascii="Century Gothic" w:hAnsi="Century Gothic"/>
              </w:rPr>
            </w:pPr>
            <w:r w:rsidRPr="00FB3516">
              <w:rPr>
                <w:rFonts w:ascii="Century Gothic" w:hAnsi="Century Gothic"/>
              </w:rPr>
              <w:t>Lenguajes</w:t>
            </w:r>
          </w:p>
        </w:tc>
        <w:tc>
          <w:tcPr>
            <w:tcW w:w="3028" w:type="dxa"/>
            <w:vAlign w:val="center"/>
          </w:tcPr>
          <w:p w14:paraId="623D5028" w14:textId="77777777" w:rsidR="00FB3516" w:rsidRPr="00FB3516" w:rsidRDefault="00FB3516" w:rsidP="00FB3516">
            <w:pPr>
              <w:rPr>
                <w:rFonts w:ascii="Century Gothic" w:hAnsi="Century Gothic"/>
              </w:rPr>
            </w:pPr>
            <w:r w:rsidRPr="00FB3516">
              <w:rPr>
                <w:rFonts w:ascii="Century Gothic" w:hAnsi="Century Gothic"/>
              </w:rPr>
              <w:t>Pensamiento crítico</w:t>
            </w:r>
          </w:p>
          <w:p w14:paraId="5C0032C9" w14:textId="77777777" w:rsidR="00FB3516" w:rsidRPr="00FB3516" w:rsidRDefault="00FB3516" w:rsidP="00FB3516">
            <w:pPr>
              <w:rPr>
                <w:rFonts w:ascii="Century Gothic" w:hAnsi="Century Gothic"/>
              </w:rPr>
            </w:pPr>
            <w:r w:rsidRPr="00FB3516">
              <w:rPr>
                <w:rFonts w:ascii="Century Gothic" w:hAnsi="Century Gothic"/>
              </w:rPr>
              <w:t xml:space="preserve">Interculturalidad critica </w:t>
            </w:r>
          </w:p>
          <w:p w14:paraId="0AC9F6DC" w14:textId="77777777" w:rsidR="00FB3516" w:rsidRPr="00FB3516" w:rsidRDefault="00FB3516" w:rsidP="00FB3516">
            <w:pPr>
              <w:rPr>
                <w:rFonts w:ascii="Century Gothic" w:hAnsi="Century Gothic"/>
              </w:rPr>
            </w:pPr>
            <w:r w:rsidRPr="00FB3516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0DB57ED1" w14:textId="77777777" w:rsidR="00FB3516" w:rsidRPr="00FB3516" w:rsidRDefault="00FB3516" w:rsidP="00FB3516">
            <w:pPr>
              <w:rPr>
                <w:rFonts w:ascii="Century Gothic" w:hAnsi="Century Gothic"/>
              </w:rPr>
            </w:pPr>
            <w:r w:rsidRPr="00FB3516">
              <w:rPr>
                <w:rFonts w:ascii="Century Gothic" w:hAnsi="Century Gothic"/>
              </w:rPr>
              <w:t xml:space="preserve">Artes y experiencias estéticas </w:t>
            </w:r>
          </w:p>
          <w:p w14:paraId="2D724138" w14:textId="5543CE9E" w:rsidR="00FB3516" w:rsidRPr="00FB3516" w:rsidRDefault="00FB3516" w:rsidP="00FB3516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06352B26" w14:textId="77777777" w:rsidR="00FB3516" w:rsidRPr="00FB3516" w:rsidRDefault="00FB3516" w:rsidP="00FB3516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FB3516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133CBBF1" w14:textId="40C4F4D8" w:rsidR="00FB3516" w:rsidRPr="00FB3516" w:rsidRDefault="00FB3516" w:rsidP="00FB3516">
            <w:pPr>
              <w:rPr>
                <w:rFonts w:ascii="Century Gothic" w:hAnsi="Century Gothic"/>
              </w:rPr>
            </w:pPr>
            <w:r w:rsidRPr="00FB3516">
              <w:rPr>
                <w:rFonts w:ascii="Century Gothic" w:hAnsi="Century Gothic" w:cs="Tahoma"/>
                <w:sz w:val="24"/>
                <w:szCs w:val="24"/>
              </w:rPr>
              <w:t>Páginas 72 a la 87</w:t>
            </w:r>
          </w:p>
        </w:tc>
        <w:tc>
          <w:tcPr>
            <w:tcW w:w="2910" w:type="dxa"/>
            <w:vAlign w:val="center"/>
          </w:tcPr>
          <w:p w14:paraId="1C02C1AD" w14:textId="1EEC1A1A" w:rsidR="00FB3516" w:rsidRPr="00FB3516" w:rsidRDefault="00FB3516" w:rsidP="00FB3516">
            <w:pPr>
              <w:rPr>
                <w:rFonts w:ascii="Century Gothic" w:hAnsi="Century Gothic"/>
              </w:rPr>
            </w:pPr>
            <w:r w:rsidRPr="00FB3516">
              <w:rPr>
                <w:rFonts w:ascii="Century Gothic" w:hAnsi="Century Gothic" w:cs="Tahoma"/>
                <w:sz w:val="24"/>
                <w:szCs w:val="24"/>
              </w:rPr>
              <w:t>La ruta para conocer las maravillas de mi localidad.</w:t>
            </w:r>
          </w:p>
        </w:tc>
        <w:tc>
          <w:tcPr>
            <w:tcW w:w="3802" w:type="dxa"/>
            <w:vAlign w:val="center"/>
          </w:tcPr>
          <w:p w14:paraId="30CCDB5F" w14:textId="01BCDBEF" w:rsidR="00FB3516" w:rsidRPr="00FB3516" w:rsidRDefault="00FB3516" w:rsidP="00FB3516">
            <w:pPr>
              <w:rPr>
                <w:rFonts w:ascii="Century Gothic" w:hAnsi="Century Gothic"/>
              </w:rPr>
            </w:pPr>
            <w:r w:rsidRPr="00FB3516">
              <w:rPr>
                <w:rFonts w:ascii="Century Gothic" w:hAnsi="Century Gothic" w:cs="Tahoma"/>
                <w:sz w:val="24"/>
                <w:szCs w:val="24"/>
              </w:rPr>
              <w:t>Compartir y promover, mediante un croquis, las trayectorias que se deben seguir para conocer las maravillas de su localidad.</w:t>
            </w:r>
          </w:p>
        </w:tc>
      </w:tr>
      <w:tr w:rsidR="00FB3516" w:rsidRPr="00FB3516" w14:paraId="11363062" w14:textId="77777777" w:rsidTr="00FB3516">
        <w:tc>
          <w:tcPr>
            <w:tcW w:w="3084" w:type="dxa"/>
            <w:vAlign w:val="center"/>
          </w:tcPr>
          <w:p w14:paraId="6A945832" w14:textId="2AB16801" w:rsidR="00FB3516" w:rsidRPr="00FB3516" w:rsidRDefault="00FB3516" w:rsidP="00FB3516">
            <w:pPr>
              <w:rPr>
                <w:rFonts w:ascii="Century Gothic" w:hAnsi="Century Gothic"/>
              </w:rPr>
            </w:pPr>
            <w:r w:rsidRPr="00FB3516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3028" w:type="dxa"/>
            <w:vAlign w:val="center"/>
          </w:tcPr>
          <w:p w14:paraId="5B1FF555" w14:textId="77777777" w:rsidR="00FB3516" w:rsidRPr="00FB3516" w:rsidRDefault="00FB3516" w:rsidP="00FB3516">
            <w:pPr>
              <w:rPr>
                <w:rFonts w:ascii="Century Gothic" w:hAnsi="Century Gothic"/>
              </w:rPr>
            </w:pPr>
            <w:r w:rsidRPr="00FB3516">
              <w:rPr>
                <w:rFonts w:ascii="Century Gothic" w:hAnsi="Century Gothic"/>
              </w:rPr>
              <w:t>Inclusión</w:t>
            </w:r>
          </w:p>
          <w:p w14:paraId="607C4010" w14:textId="77777777" w:rsidR="00FB3516" w:rsidRPr="00FB3516" w:rsidRDefault="00FB3516" w:rsidP="00FB3516">
            <w:pPr>
              <w:rPr>
                <w:rFonts w:ascii="Century Gothic" w:hAnsi="Century Gothic"/>
              </w:rPr>
            </w:pPr>
            <w:r w:rsidRPr="00FB3516">
              <w:rPr>
                <w:rFonts w:ascii="Century Gothic" w:hAnsi="Century Gothic"/>
              </w:rPr>
              <w:t>Igualdad de género</w:t>
            </w:r>
          </w:p>
          <w:p w14:paraId="58086788" w14:textId="34FA4B3E" w:rsidR="00FB3516" w:rsidRPr="00FB3516" w:rsidRDefault="00FB3516" w:rsidP="00FB3516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454E073D" w14:textId="77777777" w:rsidR="00FB3516" w:rsidRPr="00FB3516" w:rsidRDefault="00FB3516" w:rsidP="00FB3516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FB3516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5789F6D" w14:textId="5D787778" w:rsidR="00FB3516" w:rsidRPr="00FB3516" w:rsidRDefault="00FB3516" w:rsidP="00FB3516">
            <w:pPr>
              <w:rPr>
                <w:rFonts w:ascii="Century Gothic" w:hAnsi="Century Gothic"/>
              </w:rPr>
            </w:pPr>
            <w:r w:rsidRPr="00FB3516">
              <w:rPr>
                <w:rFonts w:ascii="Century Gothic" w:hAnsi="Century Gothic" w:cs="Tahoma"/>
                <w:sz w:val="24"/>
                <w:szCs w:val="24"/>
              </w:rPr>
              <w:t>Páginas 234 a la 245</w:t>
            </w:r>
          </w:p>
        </w:tc>
        <w:tc>
          <w:tcPr>
            <w:tcW w:w="2910" w:type="dxa"/>
            <w:vAlign w:val="center"/>
          </w:tcPr>
          <w:p w14:paraId="0F88FC55" w14:textId="5C364132" w:rsidR="00FB3516" w:rsidRPr="00FB3516" w:rsidRDefault="00FB3516" w:rsidP="00FB3516">
            <w:pPr>
              <w:rPr>
                <w:rFonts w:ascii="Century Gothic" w:hAnsi="Century Gothic"/>
              </w:rPr>
            </w:pPr>
            <w:r w:rsidRPr="00FB3516">
              <w:rPr>
                <w:rFonts w:ascii="Century Gothic" w:hAnsi="Century Gothic" w:cs="Tahoma"/>
                <w:sz w:val="24"/>
                <w:szCs w:val="24"/>
              </w:rPr>
              <w:t xml:space="preserve"> ¡Uno, dos, tres, por mí y por toda mi familia!</w:t>
            </w:r>
          </w:p>
        </w:tc>
        <w:tc>
          <w:tcPr>
            <w:tcW w:w="3802" w:type="dxa"/>
            <w:vAlign w:val="center"/>
          </w:tcPr>
          <w:p w14:paraId="1544F34B" w14:textId="24B2CBC2" w:rsidR="00FB3516" w:rsidRPr="00FB3516" w:rsidRDefault="00FB3516" w:rsidP="00FB3516">
            <w:pPr>
              <w:rPr>
                <w:rFonts w:ascii="Century Gothic" w:hAnsi="Century Gothic"/>
              </w:rPr>
            </w:pPr>
            <w:proofErr w:type="gramStart"/>
            <w:r w:rsidRPr="00FB3516">
              <w:rPr>
                <w:rFonts w:ascii="Century Gothic" w:hAnsi="Century Gothic" w:cs="Tahoma"/>
                <w:sz w:val="24"/>
                <w:szCs w:val="24"/>
              </w:rPr>
              <w:t>Reconocer</w:t>
            </w:r>
            <w:proofErr w:type="gramEnd"/>
            <w:r w:rsidRPr="00FB3516">
              <w:rPr>
                <w:rFonts w:ascii="Century Gothic" w:hAnsi="Century Gothic" w:cs="Tahoma"/>
                <w:sz w:val="24"/>
                <w:szCs w:val="24"/>
              </w:rPr>
              <w:t xml:space="preserve"> que cada familia es diferente. Elaborar un Tendedero familiar con su comunidad de aula para valorar la importancia de las familias durante el desarrollo personal.</w:t>
            </w:r>
          </w:p>
        </w:tc>
      </w:tr>
      <w:tr w:rsidR="00FB3516" w:rsidRPr="00FB3516" w14:paraId="28903A2D" w14:textId="77777777" w:rsidTr="00FB3516">
        <w:tc>
          <w:tcPr>
            <w:tcW w:w="3084" w:type="dxa"/>
            <w:vAlign w:val="center"/>
          </w:tcPr>
          <w:p w14:paraId="66EAD28D" w14:textId="68E8FDD6" w:rsidR="00FB3516" w:rsidRPr="00FB3516" w:rsidRDefault="00FB3516" w:rsidP="00FB3516">
            <w:pPr>
              <w:rPr>
                <w:rFonts w:ascii="Century Gothic" w:hAnsi="Century Gothic"/>
              </w:rPr>
            </w:pPr>
            <w:r w:rsidRPr="00FB3516">
              <w:rPr>
                <w:rFonts w:ascii="Century Gothic" w:hAnsi="Century Gothic"/>
              </w:rPr>
              <w:t>Saberes y pensamiento científico</w:t>
            </w:r>
          </w:p>
        </w:tc>
        <w:tc>
          <w:tcPr>
            <w:tcW w:w="3028" w:type="dxa"/>
            <w:vAlign w:val="center"/>
          </w:tcPr>
          <w:p w14:paraId="364F1C44" w14:textId="77777777" w:rsidR="00FB3516" w:rsidRPr="00FB3516" w:rsidRDefault="00FB3516" w:rsidP="00FB3516">
            <w:pPr>
              <w:rPr>
                <w:rFonts w:ascii="Century Gothic" w:hAnsi="Century Gothic"/>
              </w:rPr>
            </w:pPr>
            <w:r w:rsidRPr="00FB3516">
              <w:rPr>
                <w:rFonts w:ascii="Century Gothic" w:hAnsi="Century Gothic"/>
              </w:rPr>
              <w:t>Inclusión</w:t>
            </w:r>
          </w:p>
          <w:p w14:paraId="1D7C6EAA" w14:textId="77777777" w:rsidR="00FB3516" w:rsidRPr="00FB3516" w:rsidRDefault="00FB3516" w:rsidP="00FB3516">
            <w:pPr>
              <w:rPr>
                <w:rFonts w:ascii="Century Gothic" w:hAnsi="Century Gothic"/>
              </w:rPr>
            </w:pPr>
            <w:r w:rsidRPr="00FB3516">
              <w:rPr>
                <w:rFonts w:ascii="Century Gothic" w:hAnsi="Century Gothic"/>
              </w:rPr>
              <w:t>Pensamiento crítico</w:t>
            </w:r>
          </w:p>
          <w:p w14:paraId="599C58D7" w14:textId="4386A27A" w:rsidR="00FB3516" w:rsidRPr="00FB3516" w:rsidRDefault="00FB3516" w:rsidP="00FB3516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7A3F95BC" w14:textId="77777777" w:rsidR="00FB3516" w:rsidRPr="00FB3516" w:rsidRDefault="00FB3516" w:rsidP="00FB3516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FB3516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E092657" w14:textId="74603957" w:rsidR="00FB3516" w:rsidRPr="00FB3516" w:rsidRDefault="00FB3516" w:rsidP="00FB3516">
            <w:pPr>
              <w:rPr>
                <w:rFonts w:ascii="Century Gothic" w:hAnsi="Century Gothic"/>
              </w:rPr>
            </w:pPr>
            <w:r w:rsidRPr="00FB3516">
              <w:rPr>
                <w:rFonts w:ascii="Century Gothic" w:hAnsi="Century Gothic" w:cs="Tahoma"/>
                <w:sz w:val="24"/>
                <w:szCs w:val="24"/>
              </w:rPr>
              <w:t>Páginas 132 a la 143</w:t>
            </w:r>
          </w:p>
        </w:tc>
        <w:tc>
          <w:tcPr>
            <w:tcW w:w="2910" w:type="dxa"/>
            <w:vAlign w:val="center"/>
          </w:tcPr>
          <w:p w14:paraId="2010C993" w14:textId="2E9B8627" w:rsidR="00FB3516" w:rsidRPr="00FB3516" w:rsidRDefault="00FB3516" w:rsidP="00FB3516">
            <w:pPr>
              <w:rPr>
                <w:rFonts w:ascii="Century Gothic" w:hAnsi="Century Gothic"/>
              </w:rPr>
            </w:pPr>
            <w:r w:rsidRPr="00FB3516">
              <w:rPr>
                <w:rFonts w:ascii="Century Gothic" w:hAnsi="Century Gothic" w:cs="Tahoma"/>
                <w:sz w:val="24"/>
                <w:szCs w:val="24"/>
              </w:rPr>
              <w:t xml:space="preserve"> Las formas de la naturaleza.</w:t>
            </w:r>
          </w:p>
        </w:tc>
        <w:tc>
          <w:tcPr>
            <w:tcW w:w="3802" w:type="dxa"/>
            <w:vAlign w:val="center"/>
          </w:tcPr>
          <w:p w14:paraId="3F11CA71" w14:textId="4131619A" w:rsidR="00FB3516" w:rsidRPr="00FB3516" w:rsidRDefault="00FB3516" w:rsidP="00FB3516">
            <w:pPr>
              <w:rPr>
                <w:rFonts w:ascii="Century Gothic" w:hAnsi="Century Gothic"/>
              </w:rPr>
            </w:pPr>
            <w:r w:rsidRPr="00FB3516">
              <w:rPr>
                <w:rFonts w:ascii="Century Gothic" w:hAnsi="Century Gothic" w:cs="Tahoma"/>
                <w:sz w:val="24"/>
                <w:szCs w:val="24"/>
              </w:rPr>
              <w:t>Relacionar el entorno natural con formas en la naturaleza para diseñar artesanías con la intención de reconocer y clasificar algunas figuras geométricas.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5A23B" w14:textId="77777777" w:rsidR="00873E98" w:rsidRDefault="00873E98" w:rsidP="0040208D">
      <w:pPr>
        <w:spacing w:after="0" w:line="240" w:lineRule="auto"/>
      </w:pPr>
      <w:r>
        <w:separator/>
      </w:r>
    </w:p>
  </w:endnote>
  <w:endnote w:type="continuationSeparator" w:id="0">
    <w:p w14:paraId="0E341BD0" w14:textId="77777777" w:rsidR="00873E98" w:rsidRDefault="00873E98" w:rsidP="0040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798BA" w14:textId="77777777" w:rsidR="00873E98" w:rsidRDefault="00873E98" w:rsidP="0040208D">
      <w:pPr>
        <w:spacing w:after="0" w:line="240" w:lineRule="auto"/>
      </w:pPr>
      <w:r>
        <w:separator/>
      </w:r>
    </w:p>
  </w:footnote>
  <w:footnote w:type="continuationSeparator" w:id="0">
    <w:p w14:paraId="244F0FA5" w14:textId="77777777" w:rsidR="00873E98" w:rsidRDefault="00873E98" w:rsidP="0040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5CB6" w14:textId="4A60B943" w:rsidR="0040208D" w:rsidRPr="0040208D" w:rsidRDefault="0040208D" w:rsidP="0040208D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DC4C1" wp14:editId="611CDCB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483656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F67ED"/>
    <w:rsid w:val="002F59BC"/>
    <w:rsid w:val="0040208D"/>
    <w:rsid w:val="004104AA"/>
    <w:rsid w:val="00570D11"/>
    <w:rsid w:val="00711889"/>
    <w:rsid w:val="0072408D"/>
    <w:rsid w:val="007313AC"/>
    <w:rsid w:val="00873E98"/>
    <w:rsid w:val="009A14DE"/>
    <w:rsid w:val="009A5BC5"/>
    <w:rsid w:val="00AD1658"/>
    <w:rsid w:val="00B474F4"/>
    <w:rsid w:val="00B51E4C"/>
    <w:rsid w:val="00E217F1"/>
    <w:rsid w:val="00FB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08D"/>
  </w:style>
  <w:style w:type="paragraph" w:styleId="Piedepgina">
    <w:name w:val="footer"/>
    <w:basedOn w:val="Normal"/>
    <w:link w:val="Piedepgina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163</Words>
  <Characters>900</Characters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2024-12-02T19:48:00Z</dcterms:modified>
  <cp:category>www.DidacticosMX.com</cp:category>
</cp:coreProperties>
</file>