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ADF972" w14:textId="56ED3CB0" w:rsidR="00AD1658" w:rsidRDefault="00C825A1" w:rsidP="00C825A1">
      <w:pPr>
        <w:spacing w:after="0"/>
        <w:jc w:val="center"/>
        <w:rPr>
          <w:rFonts w:ascii="Century Gothic" w:hAnsi="Century Gothic"/>
          <w:b/>
          <w:bCs/>
          <w:sz w:val="32"/>
          <w:szCs w:val="32"/>
        </w:rPr>
      </w:pPr>
      <w:r>
        <w:rPr>
          <w:rFonts w:ascii="Century Gothic" w:hAnsi="Century Gothic"/>
          <w:b/>
          <w:bCs/>
          <w:sz w:val="32"/>
          <w:szCs w:val="32"/>
        </w:rPr>
        <w:t>6to Grado</w:t>
      </w:r>
    </w:p>
    <w:p w14:paraId="77989C0C" w14:textId="101327CB" w:rsidR="002E23F0" w:rsidRPr="00C825A1" w:rsidRDefault="00D56AF7" w:rsidP="00C825A1">
      <w:pPr>
        <w:spacing w:after="0"/>
        <w:jc w:val="center"/>
        <w:rPr>
          <w:rFonts w:ascii="Century Gothic" w:hAnsi="Century Gothic"/>
          <w:b/>
          <w:bCs/>
          <w:sz w:val="32"/>
          <w:szCs w:val="32"/>
        </w:rPr>
      </w:pPr>
      <w:r>
        <w:rPr>
          <w:rFonts w:ascii="Century Gothic" w:hAnsi="Century Gothic"/>
          <w:b/>
          <w:bCs/>
          <w:sz w:val="32"/>
          <w:szCs w:val="32"/>
        </w:rPr>
        <w:t>18 AL 29 NOVIEMBRE</w:t>
      </w:r>
    </w:p>
    <w:tbl>
      <w:tblPr>
        <w:tblStyle w:val="Tablaconcuadrcula"/>
        <w:tblW w:w="0" w:type="auto"/>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2547"/>
        <w:gridCol w:w="2693"/>
        <w:gridCol w:w="1985"/>
        <w:gridCol w:w="2976"/>
        <w:gridCol w:w="4189"/>
      </w:tblGrid>
      <w:tr w:rsidR="00AD1658" w:rsidRPr="00AD1658" w14:paraId="51312299" w14:textId="77777777" w:rsidTr="00C65812">
        <w:tc>
          <w:tcPr>
            <w:tcW w:w="14390" w:type="dxa"/>
            <w:gridSpan w:val="5"/>
            <w:shd w:val="clear" w:color="auto" w:fill="FF8F8F"/>
            <w:vAlign w:val="center"/>
          </w:tcPr>
          <w:p w14:paraId="7345A0A7" w14:textId="59359916" w:rsidR="00AD1658" w:rsidRPr="00AD1658" w:rsidRDefault="002E23F0" w:rsidP="00AD1658">
            <w:pPr>
              <w:jc w:val="center"/>
              <w:rPr>
                <w:rFonts w:ascii="Century Gothic" w:hAnsi="Century Gothic"/>
                <w:b/>
                <w:bCs/>
                <w:sz w:val="26"/>
                <w:szCs w:val="26"/>
              </w:rPr>
            </w:pPr>
            <w:r>
              <w:rPr>
                <w:rFonts w:ascii="Century Gothic" w:hAnsi="Century Gothic"/>
                <w:b/>
                <w:bCs/>
                <w:sz w:val="26"/>
                <w:szCs w:val="26"/>
              </w:rPr>
              <w:t>DOSIFICACIÓN</w:t>
            </w:r>
          </w:p>
        </w:tc>
      </w:tr>
      <w:tr w:rsidR="00AD1658" w:rsidRPr="00AD1658" w14:paraId="0ED89697" w14:textId="77777777" w:rsidTr="00D56AF7">
        <w:tc>
          <w:tcPr>
            <w:tcW w:w="2547" w:type="dxa"/>
            <w:shd w:val="clear" w:color="auto" w:fill="FFD1D1"/>
            <w:vAlign w:val="center"/>
          </w:tcPr>
          <w:p w14:paraId="2010CF81" w14:textId="0E05CB10" w:rsidR="00AD1658" w:rsidRPr="00AD1658" w:rsidRDefault="00AD1658" w:rsidP="00AD1658">
            <w:pPr>
              <w:jc w:val="center"/>
              <w:rPr>
                <w:rFonts w:ascii="Century Gothic" w:hAnsi="Century Gothic"/>
                <w:b/>
                <w:bCs/>
                <w:sz w:val="26"/>
                <w:szCs w:val="26"/>
              </w:rPr>
            </w:pPr>
            <w:r w:rsidRPr="00AD1658">
              <w:rPr>
                <w:rFonts w:ascii="Century Gothic" w:hAnsi="Century Gothic"/>
                <w:b/>
                <w:bCs/>
                <w:sz w:val="26"/>
                <w:szCs w:val="26"/>
              </w:rPr>
              <w:t>Campo Formativo</w:t>
            </w:r>
          </w:p>
        </w:tc>
        <w:tc>
          <w:tcPr>
            <w:tcW w:w="2693" w:type="dxa"/>
            <w:shd w:val="clear" w:color="auto" w:fill="FFD1D1"/>
            <w:vAlign w:val="center"/>
          </w:tcPr>
          <w:p w14:paraId="3FF55929" w14:textId="2775533F" w:rsidR="00AD1658" w:rsidRPr="00AD1658" w:rsidRDefault="00AD1658" w:rsidP="00AD1658">
            <w:pPr>
              <w:jc w:val="center"/>
              <w:rPr>
                <w:rFonts w:ascii="Century Gothic" w:hAnsi="Century Gothic"/>
                <w:b/>
                <w:bCs/>
                <w:sz w:val="26"/>
                <w:szCs w:val="26"/>
              </w:rPr>
            </w:pPr>
            <w:r w:rsidRPr="00AD1658">
              <w:rPr>
                <w:rFonts w:ascii="Century Gothic" w:hAnsi="Century Gothic"/>
                <w:b/>
                <w:bCs/>
                <w:sz w:val="26"/>
                <w:szCs w:val="26"/>
              </w:rPr>
              <w:t>Ejes articuladores</w:t>
            </w:r>
          </w:p>
        </w:tc>
        <w:tc>
          <w:tcPr>
            <w:tcW w:w="1985" w:type="dxa"/>
            <w:shd w:val="clear" w:color="auto" w:fill="FFD1D1"/>
            <w:vAlign w:val="center"/>
          </w:tcPr>
          <w:p w14:paraId="426A56CE" w14:textId="6F50816E" w:rsidR="00AD1658" w:rsidRPr="00AD1658" w:rsidRDefault="00AD1658" w:rsidP="00AD1658">
            <w:pPr>
              <w:jc w:val="center"/>
              <w:rPr>
                <w:rFonts w:ascii="Century Gothic" w:hAnsi="Century Gothic"/>
                <w:b/>
                <w:bCs/>
                <w:sz w:val="26"/>
                <w:szCs w:val="26"/>
              </w:rPr>
            </w:pPr>
            <w:r w:rsidRPr="00AD1658">
              <w:rPr>
                <w:rFonts w:ascii="Century Gothic" w:hAnsi="Century Gothic"/>
                <w:b/>
                <w:bCs/>
                <w:sz w:val="26"/>
                <w:szCs w:val="26"/>
              </w:rPr>
              <w:t>Escenario</w:t>
            </w:r>
          </w:p>
        </w:tc>
        <w:tc>
          <w:tcPr>
            <w:tcW w:w="2976" w:type="dxa"/>
            <w:shd w:val="clear" w:color="auto" w:fill="FFD1D1"/>
            <w:vAlign w:val="center"/>
          </w:tcPr>
          <w:p w14:paraId="0490FFAC" w14:textId="4AF7C1E6" w:rsidR="00AD1658" w:rsidRPr="00AD1658" w:rsidRDefault="00AD1658" w:rsidP="00AD1658">
            <w:pPr>
              <w:jc w:val="center"/>
              <w:rPr>
                <w:rFonts w:ascii="Century Gothic" w:hAnsi="Century Gothic"/>
                <w:b/>
                <w:bCs/>
                <w:sz w:val="26"/>
                <w:szCs w:val="26"/>
              </w:rPr>
            </w:pPr>
            <w:r w:rsidRPr="00AD1658">
              <w:rPr>
                <w:rFonts w:ascii="Century Gothic" w:hAnsi="Century Gothic"/>
                <w:b/>
                <w:bCs/>
                <w:sz w:val="26"/>
                <w:szCs w:val="26"/>
              </w:rPr>
              <w:t>Nombre del proyecto</w:t>
            </w:r>
          </w:p>
        </w:tc>
        <w:tc>
          <w:tcPr>
            <w:tcW w:w="4189" w:type="dxa"/>
            <w:shd w:val="clear" w:color="auto" w:fill="FFD1D1"/>
            <w:vAlign w:val="center"/>
          </w:tcPr>
          <w:p w14:paraId="49AD0D00" w14:textId="0DD44579" w:rsidR="00AD1658" w:rsidRPr="00AD1658" w:rsidRDefault="00AD1658" w:rsidP="00AD1658">
            <w:pPr>
              <w:jc w:val="center"/>
              <w:rPr>
                <w:rFonts w:ascii="Century Gothic" w:hAnsi="Century Gothic"/>
                <w:b/>
                <w:bCs/>
                <w:sz w:val="26"/>
                <w:szCs w:val="26"/>
              </w:rPr>
            </w:pPr>
            <w:r w:rsidRPr="00AD1658">
              <w:rPr>
                <w:rFonts w:ascii="Century Gothic" w:hAnsi="Century Gothic"/>
                <w:b/>
                <w:bCs/>
                <w:sz w:val="26"/>
                <w:szCs w:val="26"/>
              </w:rPr>
              <w:t>Propósito</w:t>
            </w:r>
          </w:p>
        </w:tc>
      </w:tr>
      <w:tr w:rsidR="00D56AF7" w:rsidRPr="00AD1658" w14:paraId="3E0896F7" w14:textId="77777777" w:rsidTr="00D56AF7">
        <w:tc>
          <w:tcPr>
            <w:tcW w:w="2547" w:type="dxa"/>
            <w:vAlign w:val="center"/>
          </w:tcPr>
          <w:p w14:paraId="2615CD50" w14:textId="761968A4" w:rsidR="00D56AF7" w:rsidRPr="00AD1658" w:rsidRDefault="00D56AF7" w:rsidP="00D56AF7">
            <w:pPr>
              <w:jc w:val="center"/>
              <w:rPr>
                <w:rFonts w:ascii="Century Gothic" w:hAnsi="Century Gothic"/>
              </w:rPr>
            </w:pPr>
            <w:r w:rsidRPr="00D56AF7">
              <w:rPr>
                <w:rFonts w:ascii="Century Gothic" w:hAnsi="Century Gothic"/>
              </w:rPr>
              <w:t>Ética, naturaleza y sociedades</w:t>
            </w:r>
          </w:p>
        </w:tc>
        <w:tc>
          <w:tcPr>
            <w:tcW w:w="2693" w:type="dxa"/>
            <w:vAlign w:val="center"/>
          </w:tcPr>
          <w:p w14:paraId="2D724138" w14:textId="2648DB1F" w:rsidR="00D56AF7" w:rsidRPr="00AD1658" w:rsidRDefault="00D56AF7" w:rsidP="00D56AF7">
            <w:pPr>
              <w:jc w:val="center"/>
              <w:rPr>
                <w:rFonts w:ascii="Century Gothic" w:hAnsi="Century Gothic"/>
              </w:rPr>
            </w:pPr>
            <w:r w:rsidRPr="00D56AF7">
              <w:rPr>
                <w:rFonts w:ascii="Century Gothic" w:hAnsi="Century Gothic"/>
              </w:rPr>
              <w:t>Inclusión</w:t>
            </w:r>
            <w:r>
              <w:rPr>
                <w:rFonts w:ascii="Century Gothic" w:hAnsi="Century Gothic"/>
              </w:rPr>
              <w:t xml:space="preserve">, </w:t>
            </w:r>
            <w:r w:rsidRPr="00D56AF7">
              <w:rPr>
                <w:rFonts w:ascii="Century Gothic" w:hAnsi="Century Gothic"/>
              </w:rPr>
              <w:t>Pensamiento crítico</w:t>
            </w:r>
            <w:r>
              <w:rPr>
                <w:rFonts w:ascii="Century Gothic" w:hAnsi="Century Gothic"/>
              </w:rPr>
              <w:t xml:space="preserve">, </w:t>
            </w:r>
            <w:r w:rsidRPr="00D56AF7">
              <w:rPr>
                <w:rFonts w:ascii="Century Gothic" w:hAnsi="Century Gothic"/>
              </w:rPr>
              <w:t>Igualdad de género</w:t>
            </w:r>
            <w:r>
              <w:rPr>
                <w:rFonts w:ascii="Century Gothic" w:hAnsi="Century Gothic"/>
              </w:rPr>
              <w:t xml:space="preserve">, </w:t>
            </w:r>
            <w:r w:rsidRPr="00D56AF7">
              <w:rPr>
                <w:rFonts w:ascii="Century Gothic" w:hAnsi="Century Gothic"/>
              </w:rPr>
              <w:t>Vida saludable</w:t>
            </w:r>
          </w:p>
        </w:tc>
        <w:tc>
          <w:tcPr>
            <w:tcW w:w="1985" w:type="dxa"/>
            <w:vAlign w:val="center"/>
          </w:tcPr>
          <w:p w14:paraId="27771F36" w14:textId="77777777" w:rsidR="00D56AF7" w:rsidRPr="00F35B3D" w:rsidRDefault="00D56AF7" w:rsidP="00D56AF7">
            <w:pPr>
              <w:jc w:val="center"/>
              <w:rPr>
                <w:rFonts w:ascii="Century Gothic" w:hAnsi="Century Gothic" w:cs="Tahoma"/>
                <w:sz w:val="24"/>
                <w:szCs w:val="24"/>
              </w:rPr>
            </w:pPr>
            <w:r w:rsidRPr="00F35B3D">
              <w:rPr>
                <w:rFonts w:ascii="Century Gothic" w:hAnsi="Century Gothic" w:cs="Tahoma"/>
                <w:sz w:val="24"/>
                <w:szCs w:val="24"/>
              </w:rPr>
              <w:t>Comunitario.</w:t>
            </w:r>
          </w:p>
          <w:p w14:paraId="133CBBF1" w14:textId="1FF516A3" w:rsidR="00D56AF7" w:rsidRPr="00AD1658" w:rsidRDefault="00D56AF7" w:rsidP="00D56AF7">
            <w:pPr>
              <w:jc w:val="center"/>
              <w:rPr>
                <w:rFonts w:ascii="Century Gothic" w:hAnsi="Century Gothic"/>
              </w:rPr>
            </w:pPr>
            <w:r w:rsidRPr="00F35B3D">
              <w:rPr>
                <w:rFonts w:ascii="Century Gothic" w:hAnsi="Century Gothic" w:cs="Tahoma"/>
                <w:sz w:val="24"/>
                <w:szCs w:val="24"/>
              </w:rPr>
              <w:t>Páginas 216 a la 229</w:t>
            </w:r>
          </w:p>
        </w:tc>
        <w:tc>
          <w:tcPr>
            <w:tcW w:w="2976" w:type="dxa"/>
            <w:vAlign w:val="center"/>
          </w:tcPr>
          <w:p w14:paraId="1C02C1AD" w14:textId="324A955E" w:rsidR="00D56AF7" w:rsidRPr="00AD1658" w:rsidRDefault="00D56AF7" w:rsidP="00D56AF7">
            <w:pPr>
              <w:jc w:val="center"/>
              <w:rPr>
                <w:rFonts w:ascii="Century Gothic" w:hAnsi="Century Gothic"/>
              </w:rPr>
            </w:pPr>
            <w:r w:rsidRPr="00F35B3D">
              <w:rPr>
                <w:rFonts w:ascii="Century Gothic" w:hAnsi="Century Gothic" w:cs="Tahoma"/>
                <w:kern w:val="0"/>
                <w:sz w:val="24"/>
                <w:szCs w:val="24"/>
              </w:rPr>
              <w:t>Violencia de género: un problema social que nos afecta.</w:t>
            </w:r>
          </w:p>
        </w:tc>
        <w:tc>
          <w:tcPr>
            <w:tcW w:w="4189" w:type="dxa"/>
            <w:vAlign w:val="center"/>
          </w:tcPr>
          <w:p w14:paraId="30CCDB5F" w14:textId="6FE77D40" w:rsidR="00D56AF7" w:rsidRPr="00AD1658" w:rsidRDefault="00D56AF7" w:rsidP="00D56AF7">
            <w:pPr>
              <w:jc w:val="both"/>
              <w:rPr>
                <w:rFonts w:ascii="Century Gothic" w:hAnsi="Century Gothic"/>
              </w:rPr>
            </w:pPr>
            <w:r w:rsidRPr="00F35B3D">
              <w:rPr>
                <w:rFonts w:ascii="Century Gothic" w:hAnsi="Century Gothic" w:cs="Tahoma"/>
                <w:kern w:val="0"/>
                <w:sz w:val="24"/>
                <w:szCs w:val="24"/>
              </w:rPr>
              <w:t>Identificar la violencia de género como un problema de violencia estructural que se puede prevenir y erradicar si proponen acciones que lleven a relaciones igualitarias. Averiguar qué es y, por medio de una conferencia, compartir sus descubrimientos y la importancia de evitarla.</w:t>
            </w:r>
          </w:p>
        </w:tc>
      </w:tr>
      <w:tr w:rsidR="00D56AF7" w:rsidRPr="00AD1658" w14:paraId="11363062" w14:textId="77777777" w:rsidTr="00D56AF7">
        <w:tc>
          <w:tcPr>
            <w:tcW w:w="2547" w:type="dxa"/>
            <w:vAlign w:val="center"/>
          </w:tcPr>
          <w:p w14:paraId="6A945832" w14:textId="6E69EF01" w:rsidR="00D56AF7" w:rsidRPr="00AD1658" w:rsidRDefault="00D56AF7" w:rsidP="00D56AF7">
            <w:pPr>
              <w:jc w:val="center"/>
              <w:rPr>
                <w:rFonts w:ascii="Century Gothic" w:hAnsi="Century Gothic"/>
              </w:rPr>
            </w:pPr>
            <w:r w:rsidRPr="00D56AF7">
              <w:rPr>
                <w:rFonts w:ascii="Century Gothic" w:hAnsi="Century Gothic"/>
              </w:rPr>
              <w:t>De lo humano y lo comunitario</w:t>
            </w:r>
          </w:p>
        </w:tc>
        <w:tc>
          <w:tcPr>
            <w:tcW w:w="2693" w:type="dxa"/>
            <w:vAlign w:val="center"/>
          </w:tcPr>
          <w:p w14:paraId="58086788" w14:textId="51C0A658" w:rsidR="00D56AF7" w:rsidRPr="00AD1658" w:rsidRDefault="00D56AF7" w:rsidP="00D56AF7">
            <w:pPr>
              <w:jc w:val="center"/>
              <w:rPr>
                <w:rFonts w:ascii="Century Gothic" w:hAnsi="Century Gothic"/>
              </w:rPr>
            </w:pPr>
            <w:r w:rsidRPr="00D56AF7">
              <w:rPr>
                <w:rFonts w:ascii="Century Gothic" w:hAnsi="Century Gothic"/>
              </w:rPr>
              <w:t>Inclusión</w:t>
            </w:r>
            <w:r>
              <w:rPr>
                <w:rFonts w:ascii="Century Gothic" w:hAnsi="Century Gothic"/>
              </w:rPr>
              <w:t xml:space="preserve">, </w:t>
            </w:r>
            <w:r w:rsidRPr="00D56AF7">
              <w:rPr>
                <w:rFonts w:ascii="Century Gothic" w:hAnsi="Century Gothic"/>
              </w:rPr>
              <w:t>Pensamiento crítico</w:t>
            </w:r>
            <w:r>
              <w:rPr>
                <w:rFonts w:ascii="Century Gothic" w:hAnsi="Century Gothic"/>
              </w:rPr>
              <w:t xml:space="preserve">, </w:t>
            </w:r>
            <w:r w:rsidRPr="00D56AF7">
              <w:rPr>
                <w:rFonts w:ascii="Century Gothic" w:hAnsi="Century Gothic"/>
              </w:rPr>
              <w:t>Igualdad de género</w:t>
            </w:r>
            <w:r>
              <w:rPr>
                <w:rFonts w:ascii="Century Gothic" w:hAnsi="Century Gothic"/>
              </w:rPr>
              <w:t xml:space="preserve">, </w:t>
            </w:r>
            <w:r w:rsidRPr="00D56AF7">
              <w:rPr>
                <w:rFonts w:ascii="Century Gothic" w:hAnsi="Century Gothic"/>
              </w:rPr>
              <w:t>Vida saludable</w:t>
            </w:r>
          </w:p>
        </w:tc>
        <w:tc>
          <w:tcPr>
            <w:tcW w:w="1985" w:type="dxa"/>
            <w:vAlign w:val="center"/>
          </w:tcPr>
          <w:p w14:paraId="1EBCF930" w14:textId="77777777" w:rsidR="00D56AF7" w:rsidRPr="00F35B3D" w:rsidRDefault="00D56AF7" w:rsidP="00D56AF7">
            <w:pPr>
              <w:jc w:val="center"/>
              <w:rPr>
                <w:rFonts w:ascii="Century Gothic" w:hAnsi="Century Gothic" w:cs="Tahoma"/>
                <w:sz w:val="24"/>
                <w:szCs w:val="24"/>
              </w:rPr>
            </w:pPr>
            <w:r w:rsidRPr="00F35B3D">
              <w:rPr>
                <w:rFonts w:ascii="Century Gothic" w:hAnsi="Century Gothic" w:cs="Tahoma"/>
                <w:sz w:val="24"/>
                <w:szCs w:val="24"/>
              </w:rPr>
              <w:t>Comunitario.</w:t>
            </w:r>
          </w:p>
          <w:p w14:paraId="55789F6D" w14:textId="52B06082" w:rsidR="00D56AF7" w:rsidRPr="00AD1658" w:rsidRDefault="00D56AF7" w:rsidP="00D56AF7">
            <w:pPr>
              <w:jc w:val="center"/>
              <w:rPr>
                <w:rFonts w:ascii="Century Gothic" w:hAnsi="Century Gothic"/>
              </w:rPr>
            </w:pPr>
            <w:r w:rsidRPr="00F35B3D">
              <w:rPr>
                <w:rFonts w:ascii="Century Gothic" w:hAnsi="Century Gothic" w:cs="Tahoma"/>
                <w:sz w:val="24"/>
                <w:szCs w:val="24"/>
              </w:rPr>
              <w:t>Páginas 312 a la 323</w:t>
            </w:r>
          </w:p>
        </w:tc>
        <w:tc>
          <w:tcPr>
            <w:tcW w:w="2976" w:type="dxa"/>
            <w:vAlign w:val="center"/>
          </w:tcPr>
          <w:p w14:paraId="0F88FC55" w14:textId="7A4B7A5D" w:rsidR="00D56AF7" w:rsidRPr="00AD1658" w:rsidRDefault="00D56AF7" w:rsidP="00D56AF7">
            <w:pPr>
              <w:jc w:val="center"/>
              <w:rPr>
                <w:rFonts w:ascii="Century Gothic" w:hAnsi="Century Gothic"/>
              </w:rPr>
            </w:pPr>
            <w:r w:rsidRPr="00F35B3D">
              <w:rPr>
                <w:rFonts w:ascii="Century Gothic" w:hAnsi="Century Gothic" w:cs="Tahoma"/>
                <w:kern w:val="0"/>
                <w:sz w:val="24"/>
                <w:szCs w:val="24"/>
              </w:rPr>
              <w:t>Construyamos el bien común y evitemos la violencia.</w:t>
            </w:r>
          </w:p>
        </w:tc>
        <w:tc>
          <w:tcPr>
            <w:tcW w:w="4189" w:type="dxa"/>
            <w:vAlign w:val="center"/>
          </w:tcPr>
          <w:p w14:paraId="1544F34B" w14:textId="04774DFC" w:rsidR="00D56AF7" w:rsidRPr="00AD1658" w:rsidRDefault="00D56AF7" w:rsidP="00D56AF7">
            <w:pPr>
              <w:jc w:val="both"/>
              <w:rPr>
                <w:rFonts w:ascii="Century Gothic" w:hAnsi="Century Gothic"/>
              </w:rPr>
            </w:pPr>
            <w:r w:rsidRPr="00F35B3D">
              <w:rPr>
                <w:rFonts w:ascii="Century Gothic" w:hAnsi="Century Gothic" w:cs="Tahoma"/>
                <w:kern w:val="0"/>
                <w:sz w:val="24"/>
                <w:szCs w:val="24"/>
              </w:rPr>
              <w:t>Comprender la importancia de la convivencia armónica de las personas que integran la comunidad y que buscan el bien común, lo cual contribuye a generar acuerdos que ayuden a erradicar la violencia que impide el desarrollo de una vida plena. Para ello, organizar el Foro ciudadano para la paz social en su escuela, en el cual aborden el tema ¿Cómo evitar riesgos a la seguridad ante situaciones de violencia?</w:t>
            </w:r>
          </w:p>
        </w:tc>
      </w:tr>
      <w:tr w:rsidR="00D56AF7" w:rsidRPr="00AD1658" w14:paraId="28903A2D" w14:textId="77777777" w:rsidTr="00D56AF7">
        <w:tc>
          <w:tcPr>
            <w:tcW w:w="2547" w:type="dxa"/>
            <w:vAlign w:val="center"/>
          </w:tcPr>
          <w:p w14:paraId="66EAD28D" w14:textId="26E57B04" w:rsidR="00D56AF7" w:rsidRPr="00AD1658" w:rsidRDefault="00D56AF7" w:rsidP="00D56AF7">
            <w:pPr>
              <w:jc w:val="center"/>
              <w:rPr>
                <w:rFonts w:ascii="Century Gothic" w:hAnsi="Century Gothic"/>
              </w:rPr>
            </w:pPr>
            <w:r w:rsidRPr="00D56AF7">
              <w:rPr>
                <w:rFonts w:ascii="Century Gothic" w:hAnsi="Century Gothic"/>
              </w:rPr>
              <w:t>De lo humano y lo comunitario</w:t>
            </w:r>
          </w:p>
        </w:tc>
        <w:tc>
          <w:tcPr>
            <w:tcW w:w="2693" w:type="dxa"/>
            <w:vAlign w:val="center"/>
          </w:tcPr>
          <w:p w14:paraId="599C58D7" w14:textId="40B4D142" w:rsidR="00D56AF7" w:rsidRPr="00AD1658" w:rsidRDefault="00D56AF7" w:rsidP="00D56AF7">
            <w:pPr>
              <w:jc w:val="center"/>
              <w:rPr>
                <w:rFonts w:ascii="Century Gothic" w:hAnsi="Century Gothic"/>
              </w:rPr>
            </w:pPr>
            <w:r w:rsidRPr="00D56AF7">
              <w:rPr>
                <w:rFonts w:ascii="Century Gothic" w:hAnsi="Century Gothic"/>
              </w:rPr>
              <w:t>Inclusión</w:t>
            </w:r>
            <w:r>
              <w:rPr>
                <w:rFonts w:ascii="Century Gothic" w:hAnsi="Century Gothic"/>
              </w:rPr>
              <w:t xml:space="preserve">, </w:t>
            </w:r>
            <w:r w:rsidRPr="00D56AF7">
              <w:rPr>
                <w:rFonts w:ascii="Century Gothic" w:hAnsi="Century Gothic"/>
              </w:rPr>
              <w:t>Pensamiento crítico</w:t>
            </w:r>
            <w:r>
              <w:rPr>
                <w:rFonts w:ascii="Century Gothic" w:hAnsi="Century Gothic"/>
              </w:rPr>
              <w:t xml:space="preserve">, </w:t>
            </w:r>
            <w:r w:rsidRPr="00D56AF7">
              <w:rPr>
                <w:rFonts w:ascii="Century Gothic" w:hAnsi="Century Gothic"/>
              </w:rPr>
              <w:t>Vida saludable</w:t>
            </w:r>
            <w:r>
              <w:rPr>
                <w:rFonts w:ascii="Century Gothic" w:hAnsi="Century Gothic"/>
              </w:rPr>
              <w:t xml:space="preserve">, </w:t>
            </w:r>
            <w:r w:rsidRPr="00D56AF7">
              <w:rPr>
                <w:rFonts w:ascii="Century Gothic" w:hAnsi="Century Gothic"/>
              </w:rPr>
              <w:t>Artes y experiencias estéticas</w:t>
            </w:r>
          </w:p>
        </w:tc>
        <w:tc>
          <w:tcPr>
            <w:tcW w:w="1985" w:type="dxa"/>
            <w:vAlign w:val="center"/>
          </w:tcPr>
          <w:p w14:paraId="6FF75F03" w14:textId="77777777" w:rsidR="00D56AF7" w:rsidRPr="00F35B3D" w:rsidRDefault="00D56AF7" w:rsidP="00D56AF7">
            <w:pPr>
              <w:jc w:val="center"/>
              <w:rPr>
                <w:rFonts w:ascii="Century Gothic" w:hAnsi="Century Gothic" w:cs="Tahoma"/>
                <w:sz w:val="24"/>
                <w:szCs w:val="24"/>
              </w:rPr>
            </w:pPr>
            <w:r w:rsidRPr="00F35B3D">
              <w:rPr>
                <w:rFonts w:ascii="Century Gothic" w:hAnsi="Century Gothic" w:cs="Tahoma"/>
                <w:sz w:val="24"/>
                <w:szCs w:val="24"/>
              </w:rPr>
              <w:t>Aula.</w:t>
            </w:r>
          </w:p>
          <w:p w14:paraId="5E092657" w14:textId="0004E536" w:rsidR="00D56AF7" w:rsidRPr="00AD1658" w:rsidRDefault="00D56AF7" w:rsidP="00D56AF7">
            <w:pPr>
              <w:jc w:val="center"/>
              <w:rPr>
                <w:rFonts w:ascii="Century Gothic" w:hAnsi="Century Gothic"/>
              </w:rPr>
            </w:pPr>
            <w:r w:rsidRPr="00F35B3D">
              <w:rPr>
                <w:rFonts w:ascii="Century Gothic" w:hAnsi="Century Gothic" w:cs="Tahoma"/>
                <w:sz w:val="24"/>
                <w:szCs w:val="24"/>
              </w:rPr>
              <w:t>Páginas 284 a la 293</w:t>
            </w:r>
          </w:p>
        </w:tc>
        <w:tc>
          <w:tcPr>
            <w:tcW w:w="2976" w:type="dxa"/>
            <w:vAlign w:val="center"/>
          </w:tcPr>
          <w:p w14:paraId="2010C993" w14:textId="044C6AAD" w:rsidR="00D56AF7" w:rsidRPr="00AD1658" w:rsidRDefault="00D56AF7" w:rsidP="00D56AF7">
            <w:pPr>
              <w:jc w:val="center"/>
              <w:rPr>
                <w:rFonts w:ascii="Century Gothic" w:hAnsi="Century Gothic"/>
              </w:rPr>
            </w:pPr>
            <w:r w:rsidRPr="00F35B3D">
              <w:rPr>
                <w:rFonts w:ascii="Century Gothic" w:hAnsi="Century Gothic" w:cs="Tahoma"/>
                <w:kern w:val="0"/>
                <w:sz w:val="24"/>
                <w:szCs w:val="24"/>
              </w:rPr>
              <w:t>Con los pies ligeros, ¡</w:t>
            </w:r>
            <w:proofErr w:type="spellStart"/>
            <w:r w:rsidRPr="00F35B3D">
              <w:rPr>
                <w:rFonts w:ascii="Century Gothic" w:hAnsi="Century Gothic" w:cs="Tahoma"/>
                <w:kern w:val="0"/>
                <w:sz w:val="24"/>
                <w:szCs w:val="24"/>
              </w:rPr>
              <w:t>todxs</w:t>
            </w:r>
            <w:proofErr w:type="spellEnd"/>
            <w:r w:rsidRPr="00F35B3D">
              <w:rPr>
                <w:rFonts w:ascii="Century Gothic" w:hAnsi="Century Gothic" w:cs="Tahoma"/>
                <w:kern w:val="0"/>
                <w:sz w:val="24"/>
                <w:szCs w:val="24"/>
              </w:rPr>
              <w:t xml:space="preserve"> ganamos!</w:t>
            </w:r>
          </w:p>
        </w:tc>
        <w:tc>
          <w:tcPr>
            <w:tcW w:w="4189" w:type="dxa"/>
            <w:vAlign w:val="center"/>
          </w:tcPr>
          <w:p w14:paraId="3F11CA71" w14:textId="05D0DD91" w:rsidR="00D56AF7" w:rsidRPr="00AD1658" w:rsidRDefault="00D56AF7" w:rsidP="00D56AF7">
            <w:pPr>
              <w:jc w:val="both"/>
              <w:rPr>
                <w:rFonts w:ascii="Century Gothic" w:hAnsi="Century Gothic"/>
              </w:rPr>
            </w:pPr>
            <w:r w:rsidRPr="00F35B3D">
              <w:rPr>
                <w:rFonts w:ascii="Century Gothic" w:hAnsi="Century Gothic" w:cs="Tahoma"/>
                <w:kern w:val="0"/>
                <w:sz w:val="24"/>
                <w:szCs w:val="24"/>
              </w:rPr>
              <w:t>Practicar habilidades para expresarse a través de los movimientos de su cuerpo y aplicar lo aprendido en una coreografía.</w:t>
            </w:r>
          </w:p>
        </w:tc>
      </w:tr>
    </w:tbl>
    <w:p w14:paraId="099E919D" w14:textId="77777777" w:rsidR="002F59BC" w:rsidRDefault="002F59BC"/>
    <w:sectPr w:rsidR="002F59BC" w:rsidSect="00B51E4C">
      <w:headerReference w:type="default" r:id="rId7"/>
      <w:pgSz w:w="15840" w:h="12240"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B6E8E7" w14:textId="77777777" w:rsidR="003336F2" w:rsidRDefault="003336F2" w:rsidP="00C825A1">
      <w:pPr>
        <w:spacing w:after="0" w:line="240" w:lineRule="auto"/>
      </w:pPr>
      <w:r>
        <w:separator/>
      </w:r>
    </w:p>
  </w:endnote>
  <w:endnote w:type="continuationSeparator" w:id="0">
    <w:p w14:paraId="64B7E38B" w14:textId="77777777" w:rsidR="003336F2" w:rsidRDefault="003336F2" w:rsidP="00C825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B7243C" w14:textId="77777777" w:rsidR="003336F2" w:rsidRDefault="003336F2" w:rsidP="00C825A1">
      <w:pPr>
        <w:spacing w:after="0" w:line="240" w:lineRule="auto"/>
      </w:pPr>
      <w:r>
        <w:separator/>
      </w:r>
    </w:p>
  </w:footnote>
  <w:footnote w:type="continuationSeparator" w:id="0">
    <w:p w14:paraId="14358B36" w14:textId="77777777" w:rsidR="003336F2" w:rsidRDefault="003336F2" w:rsidP="00C825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15B861" w14:textId="0DA4F84B" w:rsidR="00C825A1" w:rsidRPr="00C825A1" w:rsidRDefault="00C825A1" w:rsidP="00C825A1">
    <w:pPr>
      <w:pStyle w:val="Encabezado"/>
      <w:jc w:val="right"/>
      <w:rPr>
        <w:rFonts w:ascii="Century Gothic" w:hAnsi="Century Gothic"/>
      </w:rPr>
    </w:pPr>
    <w:r>
      <w:rPr>
        <w:noProof/>
      </w:rPr>
      <w:drawing>
        <wp:anchor distT="0" distB="0" distL="114300" distR="114300" simplePos="0" relativeHeight="251658240" behindDoc="1" locked="0" layoutInCell="1" allowOverlap="1" wp14:anchorId="797586E9" wp14:editId="202070DE">
          <wp:simplePos x="0" y="0"/>
          <wp:positionH relativeFrom="margin">
            <wp:posOffset>28575</wp:posOffset>
          </wp:positionH>
          <wp:positionV relativeFrom="paragraph">
            <wp:posOffset>-163830</wp:posOffset>
          </wp:positionV>
          <wp:extent cx="6090285" cy="408305"/>
          <wp:effectExtent l="0" t="0" r="5715" b="0"/>
          <wp:wrapTight wrapText="bothSides">
            <wp:wrapPolygon edited="0">
              <wp:start x="0" y="0"/>
              <wp:lineTo x="0" y="20156"/>
              <wp:lineTo x="21553" y="20156"/>
              <wp:lineTo x="21553" y="0"/>
              <wp:lineTo x="0" y="0"/>
            </wp:wrapPolygon>
          </wp:wrapTight>
          <wp:docPr id="212290322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90285" cy="408305"/>
                  </a:xfrm>
                  <a:prstGeom prst="rect">
                    <a:avLst/>
                  </a:prstGeom>
                  <a:noFill/>
                </pic:spPr>
              </pic:pic>
            </a:graphicData>
          </a:graphic>
          <wp14:sizeRelH relativeFrom="page">
            <wp14:pctWidth>0</wp14:pctWidth>
          </wp14:sizeRelH>
          <wp14:sizeRelV relativeFrom="page">
            <wp14:pctHeight>0</wp14:pctHeight>
          </wp14:sizeRelV>
        </wp:anchor>
      </w:drawing>
    </w:r>
    <w:r>
      <w:rPr>
        <w:rFonts w:ascii="Century Gothic" w:hAnsi="Century Gothic"/>
        <w:sz w:val="28"/>
        <w:szCs w:val="28"/>
      </w:rPr>
      <w:t>https://DidacticosMx.com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1E4C"/>
    <w:rsid w:val="00113749"/>
    <w:rsid w:val="002E23F0"/>
    <w:rsid w:val="002F59BC"/>
    <w:rsid w:val="003336A2"/>
    <w:rsid w:val="003336F2"/>
    <w:rsid w:val="00374B31"/>
    <w:rsid w:val="004104AA"/>
    <w:rsid w:val="009A5BC5"/>
    <w:rsid w:val="00AD1658"/>
    <w:rsid w:val="00B474F4"/>
    <w:rsid w:val="00B51E4C"/>
    <w:rsid w:val="00C65812"/>
    <w:rsid w:val="00C825A1"/>
    <w:rsid w:val="00C82D7E"/>
    <w:rsid w:val="00D56AF7"/>
    <w:rsid w:val="00FD628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51243E"/>
  <w15:chartTrackingRefBased/>
  <w15:docId w15:val="{9786A685-4F40-4154-B0E4-23DFDB575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B51E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C825A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825A1"/>
  </w:style>
  <w:style w:type="paragraph" w:styleId="Piedepgina">
    <w:name w:val="footer"/>
    <w:basedOn w:val="Normal"/>
    <w:link w:val="PiedepginaCar"/>
    <w:uiPriority w:val="99"/>
    <w:unhideWhenUsed/>
    <w:rsid w:val="00C825A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825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4025213">
      <w:bodyDiv w:val="1"/>
      <w:marLeft w:val="0"/>
      <w:marRight w:val="0"/>
      <w:marTop w:val="0"/>
      <w:marBottom w:val="0"/>
      <w:divBdr>
        <w:top w:val="none" w:sz="0" w:space="0" w:color="auto"/>
        <w:left w:val="none" w:sz="0" w:space="0" w:color="auto"/>
        <w:bottom w:val="none" w:sz="0" w:space="0" w:color="auto"/>
        <w:right w:val="none" w:sz="0" w:space="0" w:color="auto"/>
      </w:divBdr>
    </w:div>
    <w:div w:id="1941988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97D1FC-7F57-447F-A67E-41DBD280E7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Pages>
  <Words>227</Words>
  <Characters>1251</Characters>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Manager>www.DidacticosMX.com</Manager>
  <Company>www.DidacticosMX.com</Company>
  <LinksUpToDate>false</LinksUpToDate>
  <CharactersWithSpaces>1476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www.DidacticosMX.com</dc:title>
  <dc:subject>www.DidacticosMX.com</dc:subject>
  <dc:creator>www.DidacticosMX.com</dc:creator>
  <cp:keywords>www.DidacticosMX.com</cp:keywords>
  <dc:description>www.DidacticosMX.com</dc:description>
  <dcterms:created xsi:type="dcterms:W3CDTF">2023-08-21T19:57:00Z</dcterms:created>
  <dcterms:modified xsi:type="dcterms:W3CDTF">2024-11-20T10:35:00Z</dcterms:modified>
  <cp:category>www.DidacticosMX.com</cp:category>
</cp:coreProperties>
</file>