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D320050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Hlk143517717"/>
      <w:r w:rsidRPr="00D46909">
        <w:rPr>
          <w:rFonts w:ascii="Century Gothic" w:hAnsi="Century Gothic"/>
          <w:b/>
          <w:bCs/>
          <w:sz w:val="32"/>
          <w:szCs w:val="32"/>
        </w:rPr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0C963EFC" w:rsidR="00BD0E66" w:rsidRPr="00D46909" w:rsidRDefault="00D91457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18 AL 29 NOVIEMBRE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D1658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966396">
        <w:tc>
          <w:tcPr>
            <w:tcW w:w="3114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D91457" w:rsidRPr="00AD1658" w14:paraId="3E0896F7" w14:textId="77777777" w:rsidTr="00966396">
        <w:tc>
          <w:tcPr>
            <w:tcW w:w="3114" w:type="dxa"/>
            <w:vAlign w:val="center"/>
          </w:tcPr>
          <w:p w14:paraId="2615CD50" w14:textId="359B6A2D" w:rsidR="00D91457" w:rsidRPr="00AD1658" w:rsidRDefault="00D91457" w:rsidP="00D91457">
            <w:pPr>
              <w:jc w:val="center"/>
              <w:rPr>
                <w:rFonts w:ascii="Century Gothic" w:hAnsi="Century Gothic"/>
              </w:rPr>
            </w:pPr>
            <w:r w:rsidRPr="00D91457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2D724138" w14:textId="7C860481" w:rsidR="00D91457" w:rsidRPr="00AD1658" w:rsidRDefault="00D91457" w:rsidP="00D91457">
            <w:pPr>
              <w:jc w:val="center"/>
              <w:rPr>
                <w:rFonts w:ascii="Century Gothic" w:hAnsi="Century Gothic"/>
              </w:rPr>
            </w:pPr>
            <w:r w:rsidRPr="00D91457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D91457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481B3F35" w14:textId="77777777" w:rsidR="00D91457" w:rsidRPr="004F4B47" w:rsidRDefault="00D91457" w:rsidP="00D9145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F4B47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5854B090" w:rsidR="00D91457" w:rsidRPr="00AD1658" w:rsidRDefault="00D91457" w:rsidP="00D91457">
            <w:pPr>
              <w:jc w:val="center"/>
              <w:rPr>
                <w:rFonts w:ascii="Century Gothic" w:hAnsi="Century Gothic"/>
              </w:rPr>
            </w:pPr>
            <w:r w:rsidRPr="004F4B47">
              <w:rPr>
                <w:rFonts w:ascii="Century Gothic" w:hAnsi="Century Gothic" w:cs="Tahoma"/>
                <w:sz w:val="24"/>
                <w:szCs w:val="24"/>
              </w:rPr>
              <w:t>Páginas 154 a la 167</w:t>
            </w:r>
          </w:p>
        </w:tc>
        <w:tc>
          <w:tcPr>
            <w:tcW w:w="2940" w:type="dxa"/>
            <w:vAlign w:val="center"/>
          </w:tcPr>
          <w:p w14:paraId="1C02C1AD" w14:textId="4F88B1FE" w:rsidR="00D91457" w:rsidRPr="00AD1658" w:rsidRDefault="00D91457" w:rsidP="00D91457">
            <w:pPr>
              <w:jc w:val="center"/>
              <w:rPr>
                <w:rFonts w:ascii="Century Gothic" w:hAnsi="Century Gothic"/>
              </w:rPr>
            </w:pPr>
            <w:r w:rsidRPr="004F4B47">
              <w:rPr>
                <w:rFonts w:ascii="Century Gothic" w:hAnsi="Century Gothic" w:cs="Tahoma"/>
                <w:sz w:val="24"/>
                <w:szCs w:val="24"/>
              </w:rPr>
              <w:t>¡</w:t>
            </w:r>
            <w:proofErr w:type="spellStart"/>
            <w:r w:rsidRPr="004F4B47">
              <w:rPr>
                <w:rFonts w:ascii="Century Gothic" w:hAnsi="Century Gothic" w:cs="Tahoma"/>
                <w:sz w:val="24"/>
                <w:szCs w:val="24"/>
              </w:rPr>
              <w:t>Todxs</w:t>
            </w:r>
            <w:proofErr w:type="spellEnd"/>
            <w:r w:rsidRPr="004F4B47">
              <w:rPr>
                <w:rFonts w:ascii="Century Gothic" w:hAnsi="Century Gothic" w:cs="Tahoma"/>
                <w:sz w:val="24"/>
                <w:szCs w:val="24"/>
              </w:rPr>
              <w:t xml:space="preserve"> a escena…! Pero con seguridad.</w:t>
            </w:r>
          </w:p>
        </w:tc>
        <w:tc>
          <w:tcPr>
            <w:tcW w:w="3846" w:type="dxa"/>
            <w:vAlign w:val="center"/>
          </w:tcPr>
          <w:p w14:paraId="30CCDB5F" w14:textId="47D49C1C" w:rsidR="00D91457" w:rsidRPr="00AD1658" w:rsidRDefault="00D91457" w:rsidP="00D91457">
            <w:pPr>
              <w:jc w:val="both"/>
              <w:rPr>
                <w:rFonts w:ascii="Century Gothic" w:hAnsi="Century Gothic"/>
              </w:rPr>
            </w:pPr>
            <w:r w:rsidRPr="004F4B47">
              <w:rPr>
                <w:rFonts w:ascii="Century Gothic" w:hAnsi="Century Gothic" w:cs="Tahoma"/>
                <w:sz w:val="24"/>
                <w:szCs w:val="24"/>
              </w:rPr>
              <w:t>Vivir distintas aventuras en compañía de integrantes de su comunidad escolar para identificar el desplazamiento de los cuerpos, la dirección y el tiempo que les toma realizar un recorrido en un espacio, con la intención de diseñar croquis y evitar accidentes en eventos escolares.</w:t>
            </w:r>
          </w:p>
        </w:tc>
      </w:tr>
      <w:tr w:rsidR="00D91457" w:rsidRPr="00AD1658" w14:paraId="11363062" w14:textId="77777777" w:rsidTr="00966396">
        <w:tc>
          <w:tcPr>
            <w:tcW w:w="3114" w:type="dxa"/>
            <w:vAlign w:val="center"/>
          </w:tcPr>
          <w:p w14:paraId="6A945832" w14:textId="796AE80E" w:rsidR="00D91457" w:rsidRPr="00AD1658" w:rsidRDefault="00D91457" w:rsidP="00D91457">
            <w:pPr>
              <w:jc w:val="center"/>
              <w:rPr>
                <w:rFonts w:ascii="Century Gothic" w:hAnsi="Century Gothic"/>
              </w:rPr>
            </w:pPr>
            <w:r w:rsidRPr="00D91457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58086788" w14:textId="3B992AA5" w:rsidR="00D91457" w:rsidRPr="00AD1658" w:rsidRDefault="00D91457" w:rsidP="00D91457">
            <w:pPr>
              <w:jc w:val="center"/>
              <w:rPr>
                <w:rFonts w:ascii="Century Gothic" w:hAnsi="Century Gothic"/>
              </w:rPr>
            </w:pPr>
            <w:r w:rsidRPr="00D91457">
              <w:rPr>
                <w:rFonts w:ascii="Century Gothic" w:hAnsi="Century Gothic"/>
              </w:rPr>
              <w:t>Inclusión</w:t>
            </w:r>
            <w:r>
              <w:rPr>
                <w:rFonts w:ascii="Century Gothic" w:hAnsi="Century Gothic"/>
              </w:rPr>
              <w:t xml:space="preserve">, </w:t>
            </w:r>
            <w:r w:rsidRPr="00D91457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D91457">
              <w:rPr>
                <w:rFonts w:ascii="Century Gothic" w:hAnsi="Century Gothic"/>
              </w:rPr>
              <w:t>Interculturalidad crítica</w:t>
            </w:r>
          </w:p>
        </w:tc>
        <w:tc>
          <w:tcPr>
            <w:tcW w:w="1439" w:type="dxa"/>
            <w:vAlign w:val="center"/>
          </w:tcPr>
          <w:p w14:paraId="4275B8C3" w14:textId="77777777" w:rsidR="00D91457" w:rsidRPr="004F4B47" w:rsidRDefault="00D91457" w:rsidP="00D9145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F4B47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393DDB78" w:rsidR="00D91457" w:rsidRPr="00AD1658" w:rsidRDefault="00D91457" w:rsidP="00D91457">
            <w:pPr>
              <w:jc w:val="center"/>
              <w:rPr>
                <w:rFonts w:ascii="Century Gothic" w:hAnsi="Century Gothic"/>
              </w:rPr>
            </w:pPr>
            <w:r w:rsidRPr="004F4B47">
              <w:rPr>
                <w:rFonts w:ascii="Century Gothic" w:hAnsi="Century Gothic" w:cs="Tahoma"/>
                <w:sz w:val="24"/>
                <w:szCs w:val="24"/>
              </w:rPr>
              <w:t>Páginas 220 a la 229</w:t>
            </w:r>
          </w:p>
        </w:tc>
        <w:tc>
          <w:tcPr>
            <w:tcW w:w="2940" w:type="dxa"/>
            <w:vAlign w:val="center"/>
          </w:tcPr>
          <w:p w14:paraId="0F88FC55" w14:textId="4A83A6E5" w:rsidR="00D91457" w:rsidRPr="00AD1658" w:rsidRDefault="00D91457" w:rsidP="00D91457">
            <w:pPr>
              <w:jc w:val="center"/>
              <w:rPr>
                <w:rFonts w:ascii="Century Gothic" w:hAnsi="Century Gothic"/>
              </w:rPr>
            </w:pPr>
            <w:r w:rsidRPr="004F4B47">
              <w:rPr>
                <w:rFonts w:ascii="Century Gothic" w:hAnsi="Century Gothic" w:cs="Tahoma"/>
                <w:sz w:val="24"/>
                <w:szCs w:val="24"/>
              </w:rPr>
              <w:t>Iguales pero diferentes.</w:t>
            </w:r>
          </w:p>
        </w:tc>
        <w:tc>
          <w:tcPr>
            <w:tcW w:w="3846" w:type="dxa"/>
            <w:vAlign w:val="center"/>
          </w:tcPr>
          <w:p w14:paraId="1544F34B" w14:textId="09B04DB1" w:rsidR="00D91457" w:rsidRPr="00AD1658" w:rsidRDefault="00D91457" w:rsidP="00D91457">
            <w:pPr>
              <w:jc w:val="both"/>
              <w:rPr>
                <w:rFonts w:ascii="Century Gothic" w:hAnsi="Century Gothic"/>
              </w:rPr>
            </w:pPr>
            <w:r w:rsidRPr="004F4B47">
              <w:rPr>
                <w:rFonts w:ascii="Century Gothic" w:hAnsi="Century Gothic" w:cs="Tahoma"/>
                <w:sz w:val="24"/>
                <w:szCs w:val="24"/>
              </w:rPr>
              <w:t>Participar en una campaña de comunicación para informar a la comunidad escolar sobre las causas de discriminación y sus consecuencias en la escuela. En colaboración, proponer acciones para construir ambientes igualitarios.</w:t>
            </w:r>
          </w:p>
        </w:tc>
      </w:tr>
      <w:tr w:rsidR="00D91457" w:rsidRPr="00AD1658" w14:paraId="28903A2D" w14:textId="77777777" w:rsidTr="00966396">
        <w:tc>
          <w:tcPr>
            <w:tcW w:w="3114" w:type="dxa"/>
            <w:vAlign w:val="center"/>
          </w:tcPr>
          <w:p w14:paraId="66EAD28D" w14:textId="3481612E" w:rsidR="00D91457" w:rsidRPr="00AD1658" w:rsidRDefault="00D91457" w:rsidP="00D91457">
            <w:pPr>
              <w:jc w:val="center"/>
              <w:rPr>
                <w:rFonts w:ascii="Century Gothic" w:hAnsi="Century Gothic"/>
              </w:rPr>
            </w:pPr>
            <w:r w:rsidRPr="00D91457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599C58D7" w14:textId="333044A6" w:rsidR="00D91457" w:rsidRPr="00AD1658" w:rsidRDefault="00D91457" w:rsidP="00D91457">
            <w:pPr>
              <w:jc w:val="center"/>
              <w:rPr>
                <w:rFonts w:ascii="Century Gothic" w:hAnsi="Century Gothic"/>
              </w:rPr>
            </w:pPr>
            <w:r w:rsidRPr="00D91457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D91457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D91457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4BA127D6" w14:textId="77777777" w:rsidR="00D91457" w:rsidRPr="004F4B47" w:rsidRDefault="00D91457" w:rsidP="00D9145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4F4B47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008220DA" w:rsidR="00D91457" w:rsidRPr="00AD1658" w:rsidRDefault="00D91457" w:rsidP="00D91457">
            <w:pPr>
              <w:jc w:val="center"/>
              <w:rPr>
                <w:rFonts w:ascii="Century Gothic" w:hAnsi="Century Gothic"/>
              </w:rPr>
            </w:pPr>
            <w:r w:rsidRPr="004F4B47">
              <w:rPr>
                <w:rFonts w:ascii="Century Gothic" w:hAnsi="Century Gothic" w:cs="Tahoma"/>
                <w:sz w:val="24"/>
                <w:szCs w:val="24"/>
              </w:rPr>
              <w:t>Páginas 340 a la 351</w:t>
            </w:r>
          </w:p>
        </w:tc>
        <w:tc>
          <w:tcPr>
            <w:tcW w:w="2940" w:type="dxa"/>
            <w:vAlign w:val="center"/>
          </w:tcPr>
          <w:p w14:paraId="2010C993" w14:textId="3A5966D4" w:rsidR="00D91457" w:rsidRPr="00AD1658" w:rsidRDefault="00D91457" w:rsidP="00D91457">
            <w:pPr>
              <w:jc w:val="center"/>
              <w:rPr>
                <w:rFonts w:ascii="Century Gothic" w:hAnsi="Century Gothic"/>
              </w:rPr>
            </w:pPr>
            <w:r w:rsidRPr="004F4B47">
              <w:rPr>
                <w:rFonts w:ascii="Century Gothic" w:hAnsi="Century Gothic" w:cs="Tahoma"/>
                <w:sz w:val="24"/>
                <w:szCs w:val="24"/>
              </w:rPr>
              <w:t>Tendedero de emociones y decisiones.</w:t>
            </w:r>
          </w:p>
        </w:tc>
        <w:tc>
          <w:tcPr>
            <w:tcW w:w="3846" w:type="dxa"/>
            <w:vAlign w:val="center"/>
          </w:tcPr>
          <w:p w14:paraId="3F11CA71" w14:textId="0C7DF3E3" w:rsidR="00D91457" w:rsidRPr="00AD1658" w:rsidRDefault="00D91457" w:rsidP="00D91457">
            <w:pPr>
              <w:jc w:val="both"/>
              <w:rPr>
                <w:rFonts w:ascii="Century Gothic" w:hAnsi="Century Gothic"/>
              </w:rPr>
            </w:pPr>
            <w:r w:rsidRPr="004F4B47">
              <w:rPr>
                <w:rFonts w:ascii="Century Gothic" w:hAnsi="Century Gothic" w:cs="Tahoma"/>
                <w:sz w:val="24"/>
                <w:szCs w:val="24"/>
              </w:rPr>
              <w:t>Identificar cómo las expresiones de su carácter definen sus decisiones. Organizar un Tendedero de emociones y decisiones, para exponer la importancia de la toma de decisiones para mejorar la convivencia en el aula.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DF1AD" w14:textId="77777777" w:rsidR="003A7F43" w:rsidRDefault="003A7F43" w:rsidP="00D46909">
      <w:pPr>
        <w:spacing w:after="0" w:line="240" w:lineRule="auto"/>
      </w:pPr>
      <w:r>
        <w:separator/>
      </w:r>
    </w:p>
  </w:endnote>
  <w:endnote w:type="continuationSeparator" w:id="0">
    <w:p w14:paraId="4C78CCB6" w14:textId="77777777" w:rsidR="003A7F43" w:rsidRDefault="003A7F43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39748" w14:textId="77777777" w:rsidR="003A7F43" w:rsidRDefault="003A7F43" w:rsidP="00D46909">
      <w:pPr>
        <w:spacing w:after="0" w:line="240" w:lineRule="auto"/>
      </w:pPr>
      <w:r>
        <w:separator/>
      </w:r>
    </w:p>
  </w:footnote>
  <w:footnote w:type="continuationSeparator" w:id="0">
    <w:p w14:paraId="47DD1DF9" w14:textId="77777777" w:rsidR="003A7F43" w:rsidRDefault="003A7F43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3A7F43"/>
    <w:rsid w:val="004104AA"/>
    <w:rsid w:val="0043679E"/>
    <w:rsid w:val="007B07F8"/>
    <w:rsid w:val="00800003"/>
    <w:rsid w:val="00966396"/>
    <w:rsid w:val="009A5BC5"/>
    <w:rsid w:val="00AD1658"/>
    <w:rsid w:val="00B474F4"/>
    <w:rsid w:val="00B51E4C"/>
    <w:rsid w:val="00BB03A1"/>
    <w:rsid w:val="00BD0E66"/>
    <w:rsid w:val="00D46909"/>
    <w:rsid w:val="00D9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199</Words>
  <Characters>1097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2024-11-20T08:50:00Z</dcterms:modified>
  <cp:category>www.DidacticosMX.com</cp:category>
</cp:coreProperties>
</file>