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F972" w14:textId="56ED3CB0" w:rsidR="00AD1658" w:rsidRDefault="00C825A1" w:rsidP="00C825A1">
      <w:pPr>
        <w:spacing w:after="0"/>
        <w:jc w:val="center"/>
        <w:rPr>
          <w:rFonts w:ascii="Century Gothic" w:hAnsi="Century Gothic"/>
          <w:b/>
          <w:bCs/>
          <w:sz w:val="32"/>
          <w:szCs w:val="32"/>
        </w:rPr>
      </w:pPr>
      <w:r>
        <w:rPr>
          <w:rFonts w:ascii="Century Gothic" w:hAnsi="Century Gothic"/>
          <w:b/>
          <w:bCs/>
          <w:sz w:val="32"/>
          <w:szCs w:val="32"/>
        </w:rPr>
        <w:t>6to Grado</w:t>
      </w:r>
    </w:p>
    <w:p w14:paraId="77989C0C" w14:textId="7CA67989" w:rsidR="002E23F0" w:rsidRPr="00C825A1" w:rsidRDefault="00847A17" w:rsidP="00C825A1">
      <w:pPr>
        <w:spacing w:after="0"/>
        <w:jc w:val="center"/>
        <w:rPr>
          <w:rFonts w:ascii="Century Gothic" w:hAnsi="Century Gothic"/>
          <w:b/>
          <w:bCs/>
          <w:sz w:val="32"/>
          <w:szCs w:val="32"/>
        </w:rPr>
      </w:pPr>
      <w:r>
        <w:rPr>
          <w:rFonts w:ascii="Century Gothic" w:hAnsi="Century Gothic"/>
          <w:b/>
          <w:bCs/>
          <w:sz w:val="32"/>
          <w:szCs w:val="32"/>
        </w:rPr>
        <w:t>21 OCTUBRE AL 1 NOVIEMBRE</w:t>
      </w:r>
    </w:p>
    <w:tbl>
      <w:tblPr>
        <w:tblStyle w:val="Tablaconcuadrcula"/>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027"/>
        <w:gridCol w:w="2987"/>
        <w:gridCol w:w="1723"/>
        <w:gridCol w:w="2909"/>
        <w:gridCol w:w="3744"/>
      </w:tblGrid>
      <w:tr w:rsidR="00AD1658" w:rsidRPr="00AD1658" w14:paraId="51312299" w14:textId="77777777" w:rsidTr="00C65812">
        <w:tc>
          <w:tcPr>
            <w:tcW w:w="14390" w:type="dxa"/>
            <w:gridSpan w:val="5"/>
            <w:shd w:val="clear" w:color="auto" w:fill="FF8F8F"/>
            <w:vAlign w:val="center"/>
          </w:tcPr>
          <w:p w14:paraId="7345A0A7" w14:textId="59359916" w:rsidR="00AD1658" w:rsidRPr="00AD1658" w:rsidRDefault="002E23F0"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C65812">
        <w:tc>
          <w:tcPr>
            <w:tcW w:w="3114" w:type="dxa"/>
            <w:shd w:val="clear" w:color="auto" w:fill="FFD1D1"/>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3051" w:type="dxa"/>
            <w:shd w:val="clear" w:color="auto" w:fill="FFD1D1"/>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439" w:type="dxa"/>
            <w:shd w:val="clear" w:color="auto" w:fill="FFD1D1"/>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40" w:type="dxa"/>
            <w:shd w:val="clear" w:color="auto" w:fill="FFD1D1"/>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3846" w:type="dxa"/>
            <w:shd w:val="clear" w:color="auto" w:fill="FFD1D1"/>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847A17" w:rsidRPr="00AD1658" w14:paraId="3E0896F7" w14:textId="77777777" w:rsidTr="00C65812">
        <w:tc>
          <w:tcPr>
            <w:tcW w:w="3114" w:type="dxa"/>
            <w:vAlign w:val="center"/>
          </w:tcPr>
          <w:p w14:paraId="2615CD50" w14:textId="566CBBF9" w:rsidR="00847A17" w:rsidRPr="00AD1658" w:rsidRDefault="00847A17" w:rsidP="00847A17">
            <w:pPr>
              <w:jc w:val="center"/>
              <w:rPr>
                <w:rFonts w:ascii="Century Gothic" w:hAnsi="Century Gothic"/>
              </w:rPr>
            </w:pPr>
            <w:r w:rsidRPr="003D01EF">
              <w:rPr>
                <w:rFonts w:ascii="Century Gothic" w:hAnsi="Century Gothic"/>
              </w:rPr>
              <w:t>Ética, naturaleza y sociedades</w:t>
            </w:r>
          </w:p>
        </w:tc>
        <w:tc>
          <w:tcPr>
            <w:tcW w:w="3051" w:type="dxa"/>
            <w:vAlign w:val="center"/>
          </w:tcPr>
          <w:p w14:paraId="2D724138" w14:textId="24742FED" w:rsidR="00847A17" w:rsidRPr="00AD1658" w:rsidRDefault="00847A17" w:rsidP="00847A17">
            <w:pPr>
              <w:jc w:val="center"/>
              <w:rPr>
                <w:rFonts w:ascii="Century Gothic" w:hAnsi="Century Gothic"/>
              </w:rPr>
            </w:pPr>
            <w:r w:rsidRPr="003D01EF">
              <w:rPr>
                <w:rFonts w:ascii="Century Gothic" w:hAnsi="Century Gothic"/>
              </w:rPr>
              <w:t>Pensamiento crítico</w:t>
            </w:r>
            <w:r>
              <w:rPr>
                <w:rFonts w:ascii="Century Gothic" w:hAnsi="Century Gothic"/>
              </w:rPr>
              <w:t xml:space="preserve">, </w:t>
            </w:r>
            <w:r w:rsidRPr="003D01EF">
              <w:rPr>
                <w:rFonts w:ascii="Century Gothic" w:hAnsi="Century Gothic"/>
              </w:rPr>
              <w:t>Interculturalidad crítica</w:t>
            </w:r>
            <w:r>
              <w:rPr>
                <w:rFonts w:ascii="Century Gothic" w:hAnsi="Century Gothic"/>
              </w:rPr>
              <w:t xml:space="preserve">, </w:t>
            </w:r>
            <w:r w:rsidRPr="003D01EF">
              <w:rPr>
                <w:rFonts w:ascii="Century Gothic" w:hAnsi="Century Gothic"/>
              </w:rPr>
              <w:t>Vida saludable</w:t>
            </w:r>
            <w:r>
              <w:rPr>
                <w:rFonts w:ascii="Century Gothic" w:hAnsi="Century Gothic"/>
              </w:rPr>
              <w:t xml:space="preserve">, </w:t>
            </w:r>
            <w:r w:rsidRPr="003D01EF">
              <w:rPr>
                <w:rFonts w:ascii="Century Gothic" w:hAnsi="Century Gothic"/>
              </w:rPr>
              <w:t>Artes y experiencias estéticas</w:t>
            </w:r>
          </w:p>
        </w:tc>
        <w:tc>
          <w:tcPr>
            <w:tcW w:w="1439" w:type="dxa"/>
            <w:vAlign w:val="center"/>
          </w:tcPr>
          <w:p w14:paraId="185F633A" w14:textId="77777777" w:rsidR="00847A17" w:rsidRPr="00066137" w:rsidRDefault="00847A17" w:rsidP="00847A17">
            <w:pPr>
              <w:jc w:val="center"/>
              <w:rPr>
                <w:rFonts w:ascii="Century Gothic" w:hAnsi="Century Gothic" w:cs="Tahoma"/>
                <w:sz w:val="24"/>
                <w:szCs w:val="24"/>
              </w:rPr>
            </w:pPr>
            <w:r w:rsidRPr="00066137">
              <w:rPr>
                <w:rFonts w:ascii="Century Gothic" w:hAnsi="Century Gothic" w:cs="Tahoma"/>
                <w:sz w:val="24"/>
                <w:szCs w:val="24"/>
              </w:rPr>
              <w:t>Comunitario.</w:t>
            </w:r>
          </w:p>
          <w:p w14:paraId="133CBBF1" w14:textId="1E6E7087" w:rsidR="00847A17" w:rsidRPr="00AD1658" w:rsidRDefault="00847A17" w:rsidP="00847A17">
            <w:pPr>
              <w:jc w:val="center"/>
              <w:rPr>
                <w:rFonts w:ascii="Century Gothic" w:hAnsi="Century Gothic"/>
              </w:rPr>
            </w:pPr>
            <w:r w:rsidRPr="00066137">
              <w:rPr>
                <w:rFonts w:ascii="Century Gothic" w:hAnsi="Century Gothic" w:cs="Tahoma"/>
                <w:sz w:val="24"/>
                <w:szCs w:val="24"/>
              </w:rPr>
              <w:t>Páginas 180 a la 195</w:t>
            </w:r>
          </w:p>
        </w:tc>
        <w:tc>
          <w:tcPr>
            <w:tcW w:w="2940" w:type="dxa"/>
            <w:vAlign w:val="center"/>
          </w:tcPr>
          <w:p w14:paraId="1C02C1AD" w14:textId="0DDFB753" w:rsidR="00847A17" w:rsidRPr="00AD1658" w:rsidRDefault="00847A17" w:rsidP="00847A17">
            <w:pPr>
              <w:jc w:val="center"/>
              <w:rPr>
                <w:rFonts w:ascii="Century Gothic" w:hAnsi="Century Gothic"/>
              </w:rPr>
            </w:pPr>
            <w:r w:rsidRPr="003D01EF">
              <w:rPr>
                <w:rFonts w:ascii="Century Gothic" w:hAnsi="Century Gothic" w:cs="Tahoma"/>
                <w:b/>
                <w:bCs/>
                <w:kern w:val="0"/>
                <w:sz w:val="24"/>
                <w:szCs w:val="24"/>
              </w:rPr>
              <w:t>Si nos organizamos, la cuidamos.</w:t>
            </w:r>
          </w:p>
        </w:tc>
        <w:tc>
          <w:tcPr>
            <w:tcW w:w="3846" w:type="dxa"/>
            <w:vAlign w:val="center"/>
          </w:tcPr>
          <w:p w14:paraId="30CCDB5F" w14:textId="5A889B2E" w:rsidR="00847A17" w:rsidRPr="00AD1658" w:rsidRDefault="00847A17" w:rsidP="00847A17">
            <w:pPr>
              <w:jc w:val="both"/>
              <w:rPr>
                <w:rFonts w:ascii="Century Gothic" w:hAnsi="Century Gothic"/>
              </w:rPr>
            </w:pPr>
            <w:r w:rsidRPr="00066137">
              <w:rPr>
                <w:rFonts w:ascii="Century Gothic" w:hAnsi="Century Gothic" w:cs="Tahoma"/>
                <w:kern w:val="0"/>
                <w:sz w:val="24"/>
                <w:szCs w:val="24"/>
              </w:rPr>
              <w:t>Desarrollar una estrategia que ayude a cuidar y preservar los bienes naturales como el agua. Para ello, mediante entrevistas, analizar la forma en que las personas se relacionan con la naturaleza. Finalmente, en colectivo, compartir con la comunidad los avances y los resultados obtenidos.</w:t>
            </w:r>
          </w:p>
        </w:tc>
      </w:tr>
      <w:tr w:rsidR="00847A17" w:rsidRPr="00AD1658" w14:paraId="11363062" w14:textId="77777777" w:rsidTr="00C65812">
        <w:tc>
          <w:tcPr>
            <w:tcW w:w="3114" w:type="dxa"/>
            <w:vAlign w:val="center"/>
          </w:tcPr>
          <w:p w14:paraId="6A945832" w14:textId="45B61E1C" w:rsidR="00847A17" w:rsidRPr="00AD1658" w:rsidRDefault="00847A17" w:rsidP="00847A17">
            <w:pPr>
              <w:jc w:val="center"/>
              <w:rPr>
                <w:rFonts w:ascii="Century Gothic" w:hAnsi="Century Gothic"/>
              </w:rPr>
            </w:pPr>
            <w:r w:rsidRPr="003D01EF">
              <w:rPr>
                <w:rFonts w:ascii="Century Gothic" w:hAnsi="Century Gothic"/>
              </w:rPr>
              <w:t>Lenguajes</w:t>
            </w:r>
          </w:p>
        </w:tc>
        <w:tc>
          <w:tcPr>
            <w:tcW w:w="3051" w:type="dxa"/>
            <w:vAlign w:val="center"/>
          </w:tcPr>
          <w:p w14:paraId="58086788" w14:textId="76ADEF4F" w:rsidR="00847A17" w:rsidRPr="00AD1658" w:rsidRDefault="00847A17" w:rsidP="00847A17">
            <w:pPr>
              <w:jc w:val="center"/>
              <w:rPr>
                <w:rFonts w:ascii="Century Gothic" w:hAnsi="Century Gothic"/>
              </w:rPr>
            </w:pPr>
            <w:r w:rsidRPr="003D01EF">
              <w:rPr>
                <w:rFonts w:ascii="Century Gothic" w:hAnsi="Century Gothic"/>
              </w:rPr>
              <w:t>Pensamiento crítico</w:t>
            </w:r>
            <w:r>
              <w:rPr>
                <w:rFonts w:ascii="Century Gothic" w:hAnsi="Century Gothic"/>
              </w:rPr>
              <w:t xml:space="preserve">, </w:t>
            </w:r>
            <w:r w:rsidRPr="003D01EF">
              <w:rPr>
                <w:rFonts w:ascii="Century Gothic" w:hAnsi="Century Gothic"/>
              </w:rPr>
              <w:t>Artes y experiencias estéticas</w:t>
            </w:r>
          </w:p>
        </w:tc>
        <w:tc>
          <w:tcPr>
            <w:tcW w:w="1439" w:type="dxa"/>
            <w:vAlign w:val="center"/>
          </w:tcPr>
          <w:p w14:paraId="09C2B36C" w14:textId="77777777" w:rsidR="00847A17" w:rsidRPr="00066137" w:rsidRDefault="00847A17" w:rsidP="00847A17">
            <w:pPr>
              <w:jc w:val="center"/>
              <w:rPr>
                <w:rFonts w:ascii="Century Gothic" w:hAnsi="Century Gothic" w:cs="Tahoma"/>
                <w:sz w:val="24"/>
                <w:szCs w:val="24"/>
              </w:rPr>
            </w:pPr>
            <w:r w:rsidRPr="00066137">
              <w:rPr>
                <w:rFonts w:ascii="Century Gothic" w:hAnsi="Century Gothic" w:cs="Tahoma"/>
                <w:sz w:val="24"/>
                <w:szCs w:val="24"/>
              </w:rPr>
              <w:t>Escolar.</w:t>
            </w:r>
          </w:p>
          <w:p w14:paraId="55789F6D" w14:textId="0D69E452" w:rsidR="00847A17" w:rsidRPr="00AD1658" w:rsidRDefault="00847A17" w:rsidP="00847A17">
            <w:pPr>
              <w:jc w:val="center"/>
              <w:rPr>
                <w:rFonts w:ascii="Century Gothic" w:hAnsi="Century Gothic"/>
              </w:rPr>
            </w:pPr>
            <w:r w:rsidRPr="00066137">
              <w:rPr>
                <w:rFonts w:ascii="Century Gothic" w:hAnsi="Century Gothic" w:cs="Tahoma"/>
                <w:sz w:val="24"/>
                <w:szCs w:val="24"/>
              </w:rPr>
              <w:t>Páginas 72 a la 83</w:t>
            </w:r>
          </w:p>
        </w:tc>
        <w:tc>
          <w:tcPr>
            <w:tcW w:w="2940" w:type="dxa"/>
            <w:vAlign w:val="center"/>
          </w:tcPr>
          <w:p w14:paraId="0F88FC55" w14:textId="3268C61A" w:rsidR="00847A17" w:rsidRPr="00AD1658" w:rsidRDefault="00847A17" w:rsidP="00847A17">
            <w:pPr>
              <w:jc w:val="center"/>
              <w:rPr>
                <w:rFonts w:ascii="Century Gothic" w:hAnsi="Century Gothic"/>
              </w:rPr>
            </w:pPr>
            <w:r w:rsidRPr="003D01EF">
              <w:rPr>
                <w:rFonts w:ascii="Century Gothic" w:hAnsi="Century Gothic" w:cs="Tahoma"/>
                <w:b/>
                <w:bCs/>
                <w:kern w:val="0"/>
                <w:sz w:val="24"/>
                <w:szCs w:val="24"/>
              </w:rPr>
              <w:t>Tormenta de miradas…cosecha de ideas.</w:t>
            </w:r>
          </w:p>
        </w:tc>
        <w:tc>
          <w:tcPr>
            <w:tcW w:w="3846" w:type="dxa"/>
            <w:vAlign w:val="center"/>
          </w:tcPr>
          <w:p w14:paraId="1544F34B" w14:textId="7884A2A4" w:rsidR="00847A17" w:rsidRPr="00AD1658" w:rsidRDefault="00847A17" w:rsidP="00847A17">
            <w:pPr>
              <w:jc w:val="both"/>
              <w:rPr>
                <w:rFonts w:ascii="Century Gothic" w:hAnsi="Century Gothic"/>
              </w:rPr>
            </w:pPr>
            <w:r w:rsidRPr="00066137">
              <w:rPr>
                <w:rFonts w:ascii="Century Gothic" w:hAnsi="Century Gothic" w:cs="Tahoma"/>
                <w:kern w:val="0"/>
                <w:sz w:val="24"/>
                <w:szCs w:val="24"/>
              </w:rPr>
              <w:t>Reconocer algunas temáticas sociales para representarlas en una manifestación artística como el mural. Para ello, retomar algunas manifestaciones culturales y artísticas al lado de Diego Rivera, José Guadalupe Posada y nuestra representativa tradición de Día de Muertos.</w:t>
            </w:r>
          </w:p>
        </w:tc>
      </w:tr>
      <w:tr w:rsidR="00847A17" w:rsidRPr="00AD1658" w14:paraId="28903A2D" w14:textId="77777777" w:rsidTr="00C65812">
        <w:tc>
          <w:tcPr>
            <w:tcW w:w="3114" w:type="dxa"/>
            <w:vAlign w:val="center"/>
          </w:tcPr>
          <w:p w14:paraId="66EAD28D" w14:textId="13606D8F" w:rsidR="00847A17" w:rsidRPr="00AD1658" w:rsidRDefault="00847A17" w:rsidP="00847A17">
            <w:pPr>
              <w:jc w:val="center"/>
              <w:rPr>
                <w:rFonts w:ascii="Century Gothic" w:hAnsi="Century Gothic"/>
              </w:rPr>
            </w:pPr>
            <w:r w:rsidRPr="003D01EF">
              <w:rPr>
                <w:rFonts w:ascii="Century Gothic" w:hAnsi="Century Gothic"/>
              </w:rPr>
              <w:t>Saberes y pensamiento científico</w:t>
            </w:r>
          </w:p>
        </w:tc>
        <w:tc>
          <w:tcPr>
            <w:tcW w:w="3051" w:type="dxa"/>
            <w:vAlign w:val="center"/>
          </w:tcPr>
          <w:p w14:paraId="599C58D7" w14:textId="7557C3B7" w:rsidR="00847A17" w:rsidRPr="00AD1658" w:rsidRDefault="00847A17" w:rsidP="00847A17">
            <w:pPr>
              <w:jc w:val="center"/>
              <w:rPr>
                <w:rFonts w:ascii="Century Gothic" w:hAnsi="Century Gothic"/>
              </w:rPr>
            </w:pPr>
            <w:r w:rsidRPr="003D01EF">
              <w:rPr>
                <w:rFonts w:ascii="Century Gothic" w:hAnsi="Century Gothic"/>
              </w:rPr>
              <w:t>Inclusión</w:t>
            </w:r>
            <w:r>
              <w:rPr>
                <w:rFonts w:ascii="Century Gothic" w:hAnsi="Century Gothic"/>
              </w:rPr>
              <w:t xml:space="preserve">, </w:t>
            </w:r>
            <w:r w:rsidRPr="003D01EF">
              <w:rPr>
                <w:rFonts w:ascii="Century Gothic" w:hAnsi="Century Gothic"/>
              </w:rPr>
              <w:t>Pensamiento crítico</w:t>
            </w:r>
            <w:r>
              <w:rPr>
                <w:rFonts w:ascii="Century Gothic" w:hAnsi="Century Gothic"/>
              </w:rPr>
              <w:t xml:space="preserve">, </w:t>
            </w:r>
            <w:r w:rsidRPr="003D01EF">
              <w:rPr>
                <w:rFonts w:ascii="Century Gothic" w:hAnsi="Century Gothic"/>
              </w:rPr>
              <w:t>Igualdad de género</w:t>
            </w:r>
            <w:r>
              <w:rPr>
                <w:rFonts w:ascii="Century Gothic" w:hAnsi="Century Gothic"/>
              </w:rPr>
              <w:t xml:space="preserve">, </w:t>
            </w:r>
            <w:r w:rsidRPr="003D01EF">
              <w:rPr>
                <w:rFonts w:ascii="Century Gothic" w:hAnsi="Century Gothic"/>
              </w:rPr>
              <w:t>Vida saludable</w:t>
            </w:r>
          </w:p>
        </w:tc>
        <w:tc>
          <w:tcPr>
            <w:tcW w:w="1439" w:type="dxa"/>
            <w:vAlign w:val="center"/>
          </w:tcPr>
          <w:p w14:paraId="42FC293C" w14:textId="77777777" w:rsidR="00847A17" w:rsidRPr="00066137" w:rsidRDefault="00847A17" w:rsidP="00847A17">
            <w:pPr>
              <w:jc w:val="center"/>
              <w:rPr>
                <w:rFonts w:ascii="Century Gothic" w:hAnsi="Century Gothic" w:cs="Tahoma"/>
                <w:sz w:val="24"/>
                <w:szCs w:val="24"/>
              </w:rPr>
            </w:pPr>
            <w:r w:rsidRPr="00066137">
              <w:rPr>
                <w:rFonts w:ascii="Century Gothic" w:hAnsi="Century Gothic" w:cs="Tahoma"/>
                <w:sz w:val="24"/>
                <w:szCs w:val="24"/>
              </w:rPr>
              <w:t>Aula.</w:t>
            </w:r>
          </w:p>
          <w:p w14:paraId="5E092657" w14:textId="5EC6B00C" w:rsidR="00847A17" w:rsidRPr="00AD1658" w:rsidRDefault="00847A17" w:rsidP="00847A17">
            <w:pPr>
              <w:jc w:val="center"/>
              <w:rPr>
                <w:rFonts w:ascii="Century Gothic" w:hAnsi="Century Gothic"/>
              </w:rPr>
            </w:pPr>
            <w:r w:rsidRPr="00066137">
              <w:rPr>
                <w:rFonts w:ascii="Century Gothic" w:hAnsi="Century Gothic" w:cs="Tahoma"/>
                <w:sz w:val="24"/>
                <w:szCs w:val="24"/>
              </w:rPr>
              <w:t>Páginas 128 a la 141</w:t>
            </w:r>
          </w:p>
        </w:tc>
        <w:tc>
          <w:tcPr>
            <w:tcW w:w="2940" w:type="dxa"/>
            <w:vAlign w:val="center"/>
          </w:tcPr>
          <w:p w14:paraId="2010C993" w14:textId="075CA09E" w:rsidR="00847A17" w:rsidRPr="00AD1658" w:rsidRDefault="00847A17" w:rsidP="00847A17">
            <w:pPr>
              <w:jc w:val="center"/>
              <w:rPr>
                <w:rFonts w:ascii="Century Gothic" w:hAnsi="Century Gothic"/>
              </w:rPr>
            </w:pPr>
            <w:r w:rsidRPr="003D01EF">
              <w:rPr>
                <w:rFonts w:ascii="Century Gothic" w:hAnsi="Century Gothic" w:cs="Tahoma"/>
                <w:b/>
                <w:bCs/>
                <w:kern w:val="0"/>
                <w:sz w:val="24"/>
                <w:szCs w:val="24"/>
              </w:rPr>
              <w:t>Salud sexual y reproductiva.</w:t>
            </w:r>
          </w:p>
        </w:tc>
        <w:tc>
          <w:tcPr>
            <w:tcW w:w="3846" w:type="dxa"/>
            <w:vAlign w:val="center"/>
          </w:tcPr>
          <w:p w14:paraId="3F11CA71" w14:textId="078A823A" w:rsidR="00847A17" w:rsidRPr="00AD1658" w:rsidRDefault="00847A17" w:rsidP="00847A17">
            <w:pPr>
              <w:jc w:val="both"/>
              <w:rPr>
                <w:rFonts w:ascii="Century Gothic" w:hAnsi="Century Gothic"/>
              </w:rPr>
            </w:pPr>
            <w:r w:rsidRPr="00066137">
              <w:rPr>
                <w:rFonts w:ascii="Century Gothic" w:hAnsi="Century Gothic" w:cs="Tahoma"/>
                <w:kern w:val="0"/>
                <w:sz w:val="24"/>
                <w:szCs w:val="24"/>
              </w:rPr>
              <w:t xml:space="preserve">Mediante la observación y el análisis de datos, identificar y responder las dudas que hay sobre los factores de riesgo implicados en las prácticas sexuales. Todo esto les servirá en la toma de decisiones </w:t>
            </w:r>
            <w:r w:rsidRPr="00066137">
              <w:rPr>
                <w:rFonts w:ascii="Century Gothic" w:hAnsi="Century Gothic" w:cs="Tahoma"/>
                <w:kern w:val="0"/>
                <w:sz w:val="24"/>
                <w:szCs w:val="24"/>
              </w:rPr>
              <w:lastRenderedPageBreak/>
              <w:t>encaminadas a la prevención de embarazos adolescentes y de infecciones de transmisión sexual (ITS). También, construir una toalla sanitaria que será útil en la higiene sexual.</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A2851" w14:textId="77777777" w:rsidR="006D667E" w:rsidRDefault="006D667E" w:rsidP="00C825A1">
      <w:pPr>
        <w:spacing w:after="0" w:line="240" w:lineRule="auto"/>
      </w:pPr>
      <w:r>
        <w:separator/>
      </w:r>
    </w:p>
  </w:endnote>
  <w:endnote w:type="continuationSeparator" w:id="0">
    <w:p w14:paraId="783EA24E" w14:textId="77777777" w:rsidR="006D667E" w:rsidRDefault="006D667E" w:rsidP="00C8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CE56" w14:textId="77777777" w:rsidR="006D667E" w:rsidRDefault="006D667E" w:rsidP="00C825A1">
      <w:pPr>
        <w:spacing w:after="0" w:line="240" w:lineRule="auto"/>
      </w:pPr>
      <w:r>
        <w:separator/>
      </w:r>
    </w:p>
  </w:footnote>
  <w:footnote w:type="continuationSeparator" w:id="0">
    <w:p w14:paraId="56E94681" w14:textId="77777777" w:rsidR="006D667E" w:rsidRDefault="006D667E" w:rsidP="00C82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5B861" w14:textId="0DA4F84B" w:rsidR="00C825A1" w:rsidRPr="00C825A1" w:rsidRDefault="00C825A1" w:rsidP="00C825A1">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797586E9" wp14:editId="202070DE">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1229032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13749"/>
    <w:rsid w:val="002E23F0"/>
    <w:rsid w:val="002F59BC"/>
    <w:rsid w:val="003C2A74"/>
    <w:rsid w:val="004104AA"/>
    <w:rsid w:val="006D667E"/>
    <w:rsid w:val="007E5756"/>
    <w:rsid w:val="00847A17"/>
    <w:rsid w:val="009A5BC5"/>
    <w:rsid w:val="00AD1658"/>
    <w:rsid w:val="00B474F4"/>
    <w:rsid w:val="00B51E4C"/>
    <w:rsid w:val="00C65812"/>
    <w:rsid w:val="00C825A1"/>
    <w:rsid w:val="00C82D7E"/>
    <w:rsid w:val="00FD62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25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5A1"/>
  </w:style>
  <w:style w:type="paragraph" w:styleId="Piedepgina">
    <w:name w:val="footer"/>
    <w:basedOn w:val="Normal"/>
    <w:link w:val="PiedepginaCar"/>
    <w:uiPriority w:val="99"/>
    <w:unhideWhenUsed/>
    <w:rsid w:val="00C825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25213">
      <w:bodyDiv w:val="1"/>
      <w:marLeft w:val="0"/>
      <w:marRight w:val="0"/>
      <w:marTop w:val="0"/>
      <w:marBottom w:val="0"/>
      <w:divBdr>
        <w:top w:val="none" w:sz="0" w:space="0" w:color="auto"/>
        <w:left w:val="none" w:sz="0" w:space="0" w:color="auto"/>
        <w:bottom w:val="none" w:sz="0" w:space="0" w:color="auto"/>
        <w:right w:val="none" w:sz="0" w:space="0" w:color="auto"/>
      </w:divBdr>
    </w:div>
    <w:div w:id="194198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238</Words>
  <Characters>1310</Characters>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2024-10-17T08:56:00Z</dcterms:modified>
  <cp:category>www.DidacticosMX.com</cp:category>
</cp:coreProperties>
</file>